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sz w:val="20"/>
        </w:rPr>
      </w:pPr>
    </w:p>
    <w:p>
      <w:pPr>
        <w:pStyle w:val="6"/>
        <w:rPr>
          <w:rFonts w:ascii="Times New Roman"/>
          <w:sz w:val="20"/>
        </w:rPr>
      </w:pPr>
    </w:p>
    <w:p>
      <w:pPr>
        <w:spacing w:before="344"/>
        <w:ind w:right="1314" w:firstLine="1321" w:firstLineChars="300"/>
        <w:jc w:val="both"/>
        <w:rPr>
          <w:b/>
          <w:sz w:val="44"/>
          <w:szCs w:val="44"/>
        </w:rPr>
      </w:pPr>
      <w:r>
        <w:rPr>
          <w:rFonts w:ascii="Times New Roman" w:eastAsia="Times New Roman"/>
          <w:b/>
          <w:sz w:val="44"/>
          <w:szCs w:val="44"/>
        </w:rPr>
        <w:t>201</w:t>
      </w:r>
      <w:r>
        <w:rPr>
          <w:rFonts w:hint="eastAsia" w:ascii="Times New Roman"/>
          <w:b/>
          <w:sz w:val="44"/>
          <w:szCs w:val="44"/>
          <w:lang w:val="en-US" w:eastAsia="zh-CN"/>
        </w:rPr>
        <w:t>8-2019</w:t>
      </w:r>
      <w:r>
        <w:rPr>
          <w:rFonts w:ascii="Times New Roman" w:eastAsia="Times New Roman"/>
          <w:b/>
          <w:sz w:val="44"/>
          <w:szCs w:val="44"/>
        </w:rPr>
        <w:t xml:space="preserve"> </w:t>
      </w:r>
      <w:r>
        <w:rPr>
          <w:b/>
          <w:sz w:val="44"/>
          <w:szCs w:val="44"/>
        </w:rPr>
        <w:t>年度企业环境报告书</w:t>
      </w:r>
    </w:p>
    <w:p>
      <w:pPr>
        <w:pStyle w:val="6"/>
        <w:jc w:val="both"/>
        <w:rPr>
          <w:b/>
          <w:sz w:val="44"/>
          <w:szCs w:val="44"/>
        </w:rPr>
      </w:pPr>
    </w:p>
    <w:p>
      <w:pPr>
        <w:pStyle w:val="6"/>
        <w:rPr>
          <w:b/>
          <w:sz w:val="58"/>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sz w:val="44"/>
          <w:lang w:val="en-US" w:eastAsia="zh-CN"/>
        </w:rPr>
      </w:pPr>
    </w:p>
    <w:p>
      <w:pPr>
        <w:pStyle w:val="6"/>
        <w:ind w:firstLine="1760" w:firstLineChars="400"/>
        <w:rPr>
          <w:rFonts w:hint="eastAsia" w:eastAsia="宋体"/>
          <w:sz w:val="44"/>
          <w:lang w:val="en-US" w:eastAsia="zh-CN"/>
        </w:rPr>
      </w:pPr>
      <w:r>
        <w:rPr>
          <w:rFonts w:hint="eastAsia"/>
          <w:sz w:val="44"/>
          <w:lang w:val="en-US" w:eastAsia="zh-CN"/>
        </w:rPr>
        <w:t>安徽发强玻璃有限责任公司</w:t>
      </w:r>
    </w:p>
    <w:p>
      <w:pPr>
        <w:pStyle w:val="6"/>
        <w:rPr>
          <w:b/>
          <w:sz w:val="58"/>
        </w:rPr>
      </w:pPr>
    </w:p>
    <w:p>
      <w:pPr>
        <w:spacing w:before="0"/>
        <w:ind w:right="0" w:firstLine="2520" w:firstLineChars="700"/>
        <w:jc w:val="left"/>
        <w:rPr>
          <w:sz w:val="36"/>
        </w:rPr>
      </w:pPr>
      <w:r>
        <w:rPr>
          <w:sz w:val="36"/>
        </w:rPr>
        <w:t>二○一</w:t>
      </w:r>
      <w:r>
        <w:rPr>
          <w:rFonts w:hint="eastAsia"/>
          <w:sz w:val="36"/>
          <w:lang w:eastAsia="zh-CN"/>
        </w:rPr>
        <w:t>九</w:t>
      </w:r>
      <w:r>
        <w:rPr>
          <w:sz w:val="36"/>
        </w:rPr>
        <w:t>年</w:t>
      </w:r>
      <w:r>
        <w:rPr>
          <w:rFonts w:hint="eastAsia"/>
          <w:sz w:val="36"/>
          <w:lang w:eastAsia="zh-CN"/>
        </w:rPr>
        <w:t>七</w:t>
      </w:r>
      <w:r>
        <w:rPr>
          <w:sz w:val="36"/>
        </w:rPr>
        <w:t>月</w:t>
      </w:r>
      <w:r>
        <w:rPr>
          <w:rFonts w:hint="eastAsia"/>
          <w:sz w:val="36"/>
          <w:lang w:eastAsia="zh-CN"/>
        </w:rPr>
        <w:t>三十一</w:t>
      </w:r>
      <w:r>
        <w:rPr>
          <w:sz w:val="36"/>
        </w:rPr>
        <w:t>日</w:t>
      </w:r>
    </w:p>
    <w:p>
      <w:pPr>
        <w:spacing w:after="0"/>
        <w:jc w:val="left"/>
        <w:rPr>
          <w:sz w:val="36"/>
        </w:rPr>
        <w:sectPr>
          <w:type w:val="continuous"/>
          <w:pgSz w:w="11910" w:h="16840"/>
          <w:pgMar w:top="1600" w:right="1560" w:bottom="280" w:left="1260" w:header="720" w:footer="720" w:gutter="0"/>
        </w:sectPr>
      </w:pPr>
    </w:p>
    <w:p>
      <w:pPr>
        <w:pStyle w:val="2"/>
        <w:spacing w:before="22"/>
        <w:ind w:left="3148"/>
        <w:rPr>
          <w:b w:val="0"/>
          <w:bCs/>
          <w:sz w:val="28"/>
          <w:szCs w:val="28"/>
        </w:rPr>
        <w:sectPr>
          <w:footerReference r:id="rId3" w:type="default"/>
          <w:pgSz w:w="11910" w:h="16840"/>
          <w:pgMar w:top="1420" w:right="1560" w:bottom="640" w:left="1260" w:header="0" w:footer="443" w:gutter="0"/>
          <w:pgNumType w:start="1"/>
        </w:sectPr>
      </w:pPr>
      <w:r>
        <w:rPr>
          <w:rFonts w:hint="eastAsia"/>
          <w:lang w:eastAsia="zh-CN"/>
        </w:rPr>
        <w:t>董事长</w:t>
      </w:r>
      <w:r>
        <w:t>致辞</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lang w:eastAsia="zh-CN"/>
        </w:rPr>
        <w:t>环境保护是</w:t>
      </w:r>
      <w:r>
        <w:rPr>
          <w:rFonts w:hint="eastAsia"/>
          <w:sz w:val="28"/>
          <w:szCs w:val="28"/>
        </w:rPr>
        <w:t>每一个环境活动参与者肩负的社会责任和历史使命。 作为负责任企业,</w:t>
      </w:r>
      <w:r>
        <w:rPr>
          <w:rFonts w:hint="eastAsia"/>
          <w:sz w:val="28"/>
          <w:szCs w:val="28"/>
          <w:lang w:eastAsia="zh-CN"/>
        </w:rPr>
        <w:t>发强玻璃公司</w:t>
      </w:r>
      <w:r>
        <w:rPr>
          <w:rFonts w:hint="eastAsia"/>
          <w:sz w:val="28"/>
          <w:szCs w:val="28"/>
        </w:rPr>
        <w:t xml:space="preserve">的环境保护宗旨是:深入践行环境保护理念,扎实推进绿色低碳和可持续发展;认真履行企业的社会责任,坚持节能环保、降低能耗,积极参加公益活动,努力回馈社会。 </w:t>
      </w:r>
    </w:p>
    <w:p>
      <w:pPr>
        <w:keepNext w:val="0"/>
        <w:keepLines w:val="0"/>
        <w:pageBreakBefore w:val="0"/>
        <w:widowControl w:val="0"/>
        <w:kinsoku/>
        <w:wordWrap/>
        <w:overflowPunct/>
        <w:topLinePunct w:val="0"/>
        <w:autoSpaceDE/>
        <w:autoSpaceDN/>
        <w:bidi w:val="0"/>
        <w:adjustRightInd/>
        <w:snapToGrid/>
        <w:ind w:right="383" w:rightChars="174"/>
        <w:jc w:val="both"/>
        <w:textAlignment w:val="auto"/>
        <w:rPr>
          <w:rFonts w:hint="eastAsia"/>
          <w:sz w:val="28"/>
          <w:szCs w:val="28"/>
        </w:rPr>
      </w:pPr>
      <w:r>
        <w:rPr>
          <w:rFonts w:hint="eastAsia"/>
          <w:sz w:val="28"/>
          <w:szCs w:val="28"/>
        </w:rPr>
        <w:t xml:space="preserve">一、环境经营的必要性和可持续发展的重要性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rPr>
        <w:t xml:space="preserve">随着经济社会的发展和环境保护意识的提高,人们已经清醒地认识到,环境保护不仅仅是当前人类社会共同面临的重大课题,也是实现可持续发展的迫切需要。当前,全球面临的最大挑战就是气候变暖,温室气体排放导致的全球气候变化已经不容回避,环境保护、发展低碳社会成为全球瞩目的焦点。为协调经济发展与环境保护的关系,人类创造了“绿色”发展的全新模式,其本质就是大幅度提高资源利用率,降低污染排放,发展循环经济、低碳经济甚至是非碳经济,使经济增长、能源消费增长与碳排放或者温室气体排放逐步脱钩。而我国总体上已迈进工业化中期,其阶段性特征决定了这一时期的经济增长仍然以资源、能源等各种生产要素的大量消耗推动为主。另一方面由于长期的粗放经济增长方式导致的资源过度开发和自然资源及生态环境综合承载能力极限的步步逼近,加剧了环境保护与经济发展的矛盾,各种能耗指标均居世界前列。基于环境恶化的现实、 环保意识的提升和对人类生存环境及可持续发展的忧虑,当前人们响亮地提出了绿色低碳发展新理念。在联合国气候峰会上,中国政府关于节能减排的一系列承诺既是政府履职尽责的具体表现,也是中国负责任企业的行动指南。 </w:t>
      </w:r>
    </w:p>
    <w:p>
      <w:pPr>
        <w:keepNext w:val="0"/>
        <w:keepLines w:val="0"/>
        <w:pageBreakBefore w:val="0"/>
        <w:widowControl w:val="0"/>
        <w:kinsoku/>
        <w:wordWrap/>
        <w:overflowPunct/>
        <w:topLinePunct w:val="0"/>
        <w:autoSpaceDE/>
        <w:autoSpaceDN/>
        <w:bidi w:val="0"/>
        <w:adjustRightInd/>
        <w:snapToGrid/>
        <w:ind w:left="-209" w:leftChars="-95" w:right="383" w:rightChars="174" w:firstLine="0" w:firstLineChars="0"/>
        <w:jc w:val="both"/>
        <w:textAlignment w:val="auto"/>
        <w:rPr>
          <w:rFonts w:hint="eastAsia"/>
          <w:sz w:val="28"/>
          <w:szCs w:val="28"/>
        </w:rPr>
      </w:pPr>
      <w:r>
        <w:rPr>
          <w:rFonts w:hint="eastAsia"/>
          <w:sz w:val="28"/>
          <w:szCs w:val="28"/>
        </w:rPr>
        <w:t xml:space="preserve">　二、公司环境经营方针及发展战略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rPr>
        <w:t xml:space="preserve">1.环境经营方针 </w:t>
      </w:r>
    </w:p>
    <w:p>
      <w:pPr>
        <w:keepNext w:val="0"/>
        <w:keepLines w:val="0"/>
        <w:pageBreakBefore w:val="0"/>
        <w:widowControl w:val="0"/>
        <w:kinsoku/>
        <w:wordWrap/>
        <w:overflowPunct/>
        <w:topLinePunct w:val="0"/>
        <w:autoSpaceDE/>
        <w:autoSpaceDN/>
        <w:bidi w:val="0"/>
        <w:adjustRightInd/>
        <w:snapToGrid/>
        <w:ind w:right="383" w:rightChars="174"/>
        <w:jc w:val="both"/>
        <w:textAlignment w:val="auto"/>
        <w:rPr>
          <w:rFonts w:hint="eastAsia"/>
          <w:sz w:val="28"/>
          <w:szCs w:val="28"/>
        </w:rPr>
      </w:pPr>
      <w:r>
        <w:rPr>
          <w:rFonts w:hint="eastAsia"/>
          <w:sz w:val="28"/>
          <w:szCs w:val="28"/>
        </w:rPr>
        <w:t>　</w:t>
      </w:r>
      <w:r>
        <w:rPr>
          <w:rFonts w:hint="eastAsia"/>
          <w:sz w:val="28"/>
          <w:szCs w:val="28"/>
          <w:lang w:val="en-US" w:eastAsia="zh-CN"/>
        </w:rPr>
        <w:t xml:space="preserve">  </w:t>
      </w:r>
      <w:r>
        <w:rPr>
          <w:rFonts w:hint="eastAsia"/>
          <w:sz w:val="28"/>
          <w:szCs w:val="28"/>
          <w:lang w:eastAsia="zh-CN"/>
        </w:rPr>
        <w:t>发强玻璃公司</w:t>
      </w:r>
      <w:r>
        <w:rPr>
          <w:rFonts w:hint="eastAsia"/>
          <w:sz w:val="28"/>
          <w:szCs w:val="28"/>
        </w:rPr>
        <w:t>作为</w:t>
      </w:r>
      <w:r>
        <w:rPr>
          <w:rFonts w:hint="eastAsia"/>
          <w:sz w:val="28"/>
          <w:szCs w:val="28"/>
          <w:lang w:eastAsia="zh-CN"/>
        </w:rPr>
        <w:t>国内较大的日用玻璃生产基地</w:t>
      </w:r>
      <w:r>
        <w:rPr>
          <w:rFonts w:hint="eastAsia"/>
          <w:sz w:val="28"/>
          <w:szCs w:val="28"/>
        </w:rPr>
        <w:t xml:space="preserve">,对自身面临的环境状况进行了认真思考和深入审视,充分考虑了利益相关者的权益,并结合企业自身经营特点,制定了切合实际的环境经营方针。同时,我们以积极主动的态度接受社会公众、媒体舆论在节能减排和环境保护方面的广泛监督,争取在环境保护方面走在国内医药行业的前列。 </w:t>
      </w:r>
    </w:p>
    <w:p>
      <w:pPr>
        <w:keepNext w:val="0"/>
        <w:keepLines w:val="0"/>
        <w:pageBreakBefore w:val="0"/>
        <w:widowControl w:val="0"/>
        <w:numPr>
          <w:ilvl w:val="0"/>
          <w:numId w:val="0"/>
        </w:numPr>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lang w:val="en-US" w:eastAsia="zh-CN"/>
        </w:rPr>
        <w:t>2.</w:t>
      </w:r>
      <w:r>
        <w:rPr>
          <w:rFonts w:hint="eastAsia"/>
          <w:sz w:val="28"/>
          <w:szCs w:val="28"/>
        </w:rPr>
        <w:t xml:space="preserve">公司环境发展战略 </w:t>
      </w:r>
    </w:p>
    <w:p>
      <w:pPr>
        <w:keepNext w:val="0"/>
        <w:keepLines w:val="0"/>
        <w:pageBreakBefore w:val="0"/>
        <w:widowControl w:val="0"/>
        <w:numPr>
          <w:ilvl w:val="0"/>
          <w:numId w:val="0"/>
        </w:numPr>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rPr>
        <w:t xml:space="preserve">坚持以科学发展观为指导,将环境保护、绿色低碳和可持续发展的理念贯穿于企业的生产经营全过程,以推进管理和技术两大领域的创新为切入点,积极推动从以末端治理为主的污染控制措施向以源头削减为主的清洁生产方式转变,努力实现环境质量和环境绩效整体提升,促进经济效益、社会效益和环境效益深度融合和相互协调,加快构建资源节约型和环境友好型企业。 </w:t>
      </w:r>
    </w:p>
    <w:p>
      <w:pPr>
        <w:keepNext w:val="0"/>
        <w:keepLines w:val="0"/>
        <w:pageBreakBefore w:val="0"/>
        <w:widowControl w:val="0"/>
        <w:kinsoku/>
        <w:wordWrap/>
        <w:overflowPunct/>
        <w:topLinePunct w:val="0"/>
        <w:autoSpaceDE/>
        <w:autoSpaceDN/>
        <w:bidi w:val="0"/>
        <w:adjustRightInd/>
        <w:snapToGrid/>
        <w:ind w:right="383" w:rightChars="174"/>
        <w:jc w:val="both"/>
        <w:textAlignment w:val="auto"/>
        <w:rPr>
          <w:rFonts w:hint="eastAsia"/>
          <w:sz w:val="28"/>
          <w:szCs w:val="28"/>
        </w:rPr>
      </w:pPr>
      <w:r>
        <w:rPr>
          <w:rFonts w:hint="eastAsia"/>
          <w:sz w:val="28"/>
          <w:szCs w:val="28"/>
        </w:rPr>
        <w:t xml:space="preserve">三、环境经营的目标及实施途径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rPr>
        <w:t xml:space="preserve">1.主要目标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eastAsia="宋体"/>
          <w:sz w:val="28"/>
          <w:szCs w:val="28"/>
          <w:lang w:eastAsia="zh-CN"/>
        </w:rPr>
      </w:pPr>
      <w:r>
        <w:rPr>
          <w:rFonts w:hint="eastAsia"/>
          <w:sz w:val="28"/>
          <w:szCs w:val="28"/>
          <w:lang w:eastAsia="zh-CN"/>
        </w:rPr>
        <w:t>所有污染物均实现达标排放。</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rPr>
        <w:t xml:space="preserve">2.实施途径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sz w:val="28"/>
          <w:szCs w:val="28"/>
        </w:rPr>
      </w:pPr>
      <w:r>
        <w:rPr>
          <w:rFonts w:hint="eastAsia"/>
          <w:sz w:val="28"/>
          <w:szCs w:val="28"/>
          <w:lang w:val="en-US" w:eastAsia="zh-CN"/>
        </w:rPr>
        <w:t>30多</w:t>
      </w:r>
      <w:r>
        <w:rPr>
          <w:rFonts w:hint="eastAsia"/>
          <w:sz w:val="28"/>
          <w:szCs w:val="28"/>
        </w:rPr>
        <w:t>年来,</w:t>
      </w:r>
      <w:r>
        <w:rPr>
          <w:rFonts w:hint="eastAsia"/>
          <w:sz w:val="28"/>
          <w:szCs w:val="28"/>
          <w:lang w:eastAsia="zh-CN"/>
        </w:rPr>
        <w:t>发强玻璃公司</w:t>
      </w:r>
      <w:r>
        <w:rPr>
          <w:rFonts w:hint="eastAsia"/>
          <w:sz w:val="28"/>
          <w:szCs w:val="28"/>
        </w:rPr>
        <w:t>经历了由小到大、由弱到强的快速发展历程环境经营的难度较大。为此,公司根据环境经营的总体目标进一步细化措施、增添举措、分解任务、落实责任。</w:t>
      </w:r>
    </w:p>
    <w:p>
      <w:pPr>
        <w:keepNext w:val="0"/>
        <w:keepLines w:val="0"/>
        <w:pageBreakBefore w:val="0"/>
        <w:widowControl w:val="0"/>
        <w:kinsoku/>
        <w:wordWrap/>
        <w:overflowPunct/>
        <w:topLinePunct w:val="0"/>
        <w:autoSpaceDE/>
        <w:autoSpaceDN/>
        <w:bidi w:val="0"/>
        <w:adjustRightInd/>
        <w:snapToGrid/>
        <w:ind w:right="383" w:rightChars="174"/>
        <w:jc w:val="both"/>
        <w:textAlignment w:val="auto"/>
        <w:rPr>
          <w:rFonts w:hint="eastAsia"/>
          <w:sz w:val="28"/>
          <w:szCs w:val="28"/>
        </w:rPr>
      </w:pPr>
      <w:r>
        <w:rPr>
          <w:rFonts w:hint="eastAsia"/>
          <w:sz w:val="28"/>
          <w:szCs w:val="28"/>
        </w:rPr>
        <w:t xml:space="preserve">四、勇于担当,以实际行动为全社会可持续发展做贡献 </w:t>
      </w:r>
    </w:p>
    <w:p>
      <w:pPr>
        <w:keepNext w:val="0"/>
        <w:keepLines w:val="0"/>
        <w:pageBreakBefore w:val="0"/>
        <w:widowControl w:val="0"/>
        <w:kinsoku/>
        <w:wordWrap/>
        <w:overflowPunct/>
        <w:topLinePunct w:val="0"/>
        <w:autoSpaceDE/>
        <w:autoSpaceDN/>
        <w:bidi w:val="0"/>
        <w:adjustRightInd/>
        <w:snapToGrid/>
        <w:ind w:right="383" w:rightChars="174" w:firstLine="560" w:firstLineChars="200"/>
        <w:jc w:val="both"/>
        <w:textAlignment w:val="auto"/>
        <w:rPr>
          <w:rFonts w:hint="eastAsia" w:eastAsia="宋体"/>
          <w:sz w:val="28"/>
          <w:szCs w:val="28"/>
          <w:lang w:eastAsia="zh-CN"/>
        </w:rPr>
      </w:pPr>
      <w:r>
        <w:rPr>
          <w:rFonts w:hint="eastAsia"/>
          <w:sz w:val="28"/>
          <w:szCs w:val="28"/>
        </w:rPr>
        <w:t>“科学求真,伦理求善”是公司的企业文化宗旨,长期以来,</w:t>
      </w:r>
      <w:r>
        <w:rPr>
          <w:rFonts w:hint="eastAsia"/>
          <w:sz w:val="28"/>
          <w:szCs w:val="28"/>
          <w:lang w:eastAsia="zh-CN"/>
        </w:rPr>
        <w:t>发强玻璃公司</w:t>
      </w:r>
      <w:r>
        <w:rPr>
          <w:rFonts w:hint="eastAsia"/>
          <w:sz w:val="28"/>
          <w:szCs w:val="28"/>
        </w:rPr>
        <w:t>始终以标杆企业的标准严格要求自己,以勇于担当的精神和敢于履职尽责的态度,积极加强质量管理、吸纳社会就业、忠实履行社会责任。 树立质量是企业生命的经营理念</w:t>
      </w:r>
      <w:r>
        <w:rPr>
          <w:rFonts w:hint="eastAsia"/>
          <w:sz w:val="28"/>
          <w:szCs w:val="28"/>
          <w:lang w:eastAsia="zh-CN"/>
        </w:rPr>
        <w:t>，</w:t>
      </w:r>
      <w:r>
        <w:rPr>
          <w:rFonts w:hint="eastAsia"/>
          <w:sz w:val="28"/>
          <w:szCs w:val="28"/>
        </w:rPr>
        <w:t xml:space="preserve">以治病救人和产业报国为崇高理想 </w:t>
      </w:r>
      <w:r>
        <w:rPr>
          <w:rFonts w:hint="eastAsia"/>
          <w:sz w:val="28"/>
          <w:szCs w:val="28"/>
          <w:lang w:eastAsia="zh-CN"/>
        </w:rPr>
        <w:t>，</w:t>
      </w:r>
      <w:r>
        <w:rPr>
          <w:rFonts w:hint="eastAsia"/>
          <w:sz w:val="28"/>
          <w:szCs w:val="28"/>
        </w:rPr>
        <w:t xml:space="preserve">积极解决社会就业和向国家纳税 </w:t>
      </w:r>
      <w:r>
        <w:rPr>
          <w:rFonts w:hint="eastAsia"/>
          <w:sz w:val="28"/>
          <w:szCs w:val="28"/>
          <w:lang w:eastAsia="zh-CN"/>
        </w:rPr>
        <w:t>，</w:t>
      </w:r>
      <w:r>
        <w:rPr>
          <w:rFonts w:hint="eastAsia"/>
          <w:sz w:val="28"/>
          <w:szCs w:val="28"/>
        </w:rPr>
        <w:t xml:space="preserve">积极参与社会公益事业 </w:t>
      </w:r>
      <w:r>
        <w:rPr>
          <w:rFonts w:hint="eastAsia"/>
          <w:sz w:val="28"/>
          <w:szCs w:val="28"/>
          <w:lang w:eastAsia="zh-CN"/>
        </w:rPr>
        <w:t>，</w:t>
      </w:r>
      <w:r>
        <w:rPr>
          <w:rFonts w:hint="eastAsia"/>
          <w:sz w:val="28"/>
          <w:szCs w:val="28"/>
        </w:rPr>
        <w:t xml:space="preserve">忠实履行环保社会责任 </w:t>
      </w:r>
      <w:r>
        <w:rPr>
          <w:rFonts w:hint="eastAsia"/>
          <w:sz w:val="28"/>
          <w:szCs w:val="28"/>
          <w:lang w:eastAsia="zh-CN"/>
        </w:rPr>
        <w:t>。</w:t>
      </w:r>
    </w:p>
    <w:p>
      <w:pPr>
        <w:keepNext w:val="0"/>
        <w:keepLines w:val="0"/>
        <w:pageBreakBefore w:val="0"/>
        <w:widowControl w:val="0"/>
        <w:kinsoku/>
        <w:wordWrap/>
        <w:overflowPunct/>
        <w:topLinePunct w:val="0"/>
        <w:autoSpaceDE/>
        <w:autoSpaceDN/>
        <w:bidi w:val="0"/>
        <w:adjustRightInd/>
        <w:snapToGrid/>
        <w:ind w:right="383" w:rightChars="174"/>
        <w:jc w:val="both"/>
        <w:textAlignment w:val="auto"/>
        <w:rPr>
          <w:rFonts w:hint="eastAsia"/>
          <w:sz w:val="28"/>
          <w:szCs w:val="28"/>
        </w:rPr>
      </w:pPr>
      <w:r>
        <w:rPr>
          <w:rFonts w:hint="eastAsia"/>
          <w:sz w:val="28"/>
          <w:szCs w:val="28"/>
        </w:rPr>
        <w:t xml:space="preserve">五、孜孜以求,持续努力推动绿色低碳发展新理念 </w:t>
      </w:r>
    </w:p>
    <w:p>
      <w:pPr>
        <w:keepNext w:val="0"/>
        <w:keepLines w:val="0"/>
        <w:pageBreakBefore w:val="0"/>
        <w:widowControl w:val="0"/>
        <w:numPr>
          <w:ilvl w:val="0"/>
          <w:numId w:val="0"/>
        </w:numPr>
        <w:kinsoku/>
        <w:wordWrap/>
        <w:overflowPunct/>
        <w:topLinePunct w:val="0"/>
        <w:autoSpaceDE/>
        <w:autoSpaceDN/>
        <w:bidi w:val="0"/>
        <w:adjustRightInd/>
        <w:snapToGrid/>
        <w:ind w:leftChars="0" w:right="383" w:rightChars="174" w:firstLine="560" w:firstLineChars="200"/>
        <w:jc w:val="both"/>
        <w:textAlignment w:val="auto"/>
        <w:rPr>
          <w:rFonts w:hint="eastAsia"/>
          <w:sz w:val="28"/>
          <w:szCs w:val="28"/>
        </w:rPr>
      </w:pPr>
      <w:r>
        <w:rPr>
          <w:rFonts w:hint="eastAsia"/>
          <w:sz w:val="28"/>
          <w:szCs w:val="28"/>
        </w:rPr>
        <w:t>发展是永恒的主题,但以牺牲环境为代价来“发展”必然威胁到当代人及子孙后代的生存,由于环境恶化导致古代多个文明走向衰落甚至消亡的历史,当为现代“地球公民”引以为鉴。发达国家和沿海地区的发展经验和工作实践坚定了我的信念:发展经济不一定以牺牲环境为代价,发展和保护之间一定有一个均衡的“对接点”。我深知寻找这个“对接点”不容易,推进节能减排、绿色环保道路崎岖坎坷,且不被公司利益相关者理解,更需要企业加大环境保护方面的投入</w:t>
      </w:r>
      <w:r>
        <w:rPr>
          <w:rFonts w:hint="eastAsia"/>
          <w:sz w:val="28"/>
          <w:szCs w:val="28"/>
          <w:lang w:eastAsia="zh-CN"/>
        </w:rPr>
        <w:t>。</w:t>
      </w:r>
      <w:r>
        <w:rPr>
          <w:rFonts w:hint="eastAsia"/>
          <w:sz w:val="28"/>
          <w:szCs w:val="28"/>
        </w:rPr>
        <w:t>保护人类共同生活的地球生态环境,任重道远。我们将以披荆斩棘的勇气、 百折不挠的意志和二次创业的决心,坚定不移地贯彻落实《节能降耗和环境保护规划》(2011-2020 年)、环境保护年度行动计划和一系列的节能减排措施,这不仅仅是公司孜孜以求,持续努力推进绿色低碳发展新理念的具体举措,也是指导公司经营行为的行动纲领,更是我作为公司董事长的庄严承诺和</w:t>
      </w:r>
      <w:r>
        <w:rPr>
          <w:rFonts w:hint="eastAsia"/>
          <w:sz w:val="28"/>
          <w:szCs w:val="28"/>
          <w:lang w:eastAsia="zh-CN"/>
        </w:rPr>
        <w:t>发强玻璃公司</w:t>
      </w:r>
      <w:r>
        <w:rPr>
          <w:rFonts w:hint="eastAsia"/>
          <w:sz w:val="28"/>
          <w:szCs w:val="28"/>
        </w:rPr>
        <w:t>自觉的行动规范。</w:t>
      </w:r>
    </w:p>
    <w:p>
      <w:pPr>
        <w:keepNext w:val="0"/>
        <w:keepLines w:val="0"/>
        <w:pageBreakBefore w:val="0"/>
        <w:widowControl w:val="0"/>
        <w:numPr>
          <w:ilvl w:val="0"/>
          <w:numId w:val="0"/>
        </w:numPr>
        <w:kinsoku/>
        <w:wordWrap/>
        <w:overflowPunct/>
        <w:topLinePunct w:val="0"/>
        <w:autoSpaceDE/>
        <w:autoSpaceDN/>
        <w:bidi w:val="0"/>
        <w:adjustRightInd/>
        <w:snapToGrid/>
        <w:ind w:leftChars="0" w:right="383" w:rightChars="174" w:firstLine="560" w:firstLineChars="200"/>
        <w:jc w:val="both"/>
        <w:textAlignment w:val="auto"/>
        <w:rPr>
          <w:rFonts w:hint="eastAsia"/>
          <w:sz w:val="28"/>
          <w:szCs w:val="28"/>
        </w:rPr>
      </w:pPr>
      <w:r>
        <w:rPr>
          <w:rFonts w:hint="eastAsia"/>
          <w:sz w:val="28"/>
          <w:szCs w:val="28"/>
        </w:rPr>
        <w:t>随着</w:t>
      </w:r>
      <w:r>
        <w:rPr>
          <w:rFonts w:hint="eastAsia"/>
          <w:sz w:val="28"/>
          <w:szCs w:val="28"/>
          <w:lang w:eastAsia="zh-CN"/>
        </w:rPr>
        <w:t>发强玻璃公司</w:t>
      </w:r>
      <w:r>
        <w:rPr>
          <w:rFonts w:hint="eastAsia"/>
          <w:sz w:val="28"/>
          <w:szCs w:val="28"/>
        </w:rPr>
        <w:t>上市环保核查和清洁生产审核的深入推进,企业从管理高层到基层员工对节能环保、绿色低碳和可持续发展的理念都有了更加深刻、更加全面的认识,公司的综合实力也显著提升。</w:t>
      </w:r>
      <w:r>
        <w:rPr>
          <w:rFonts w:hint="eastAsia"/>
          <w:sz w:val="28"/>
          <w:szCs w:val="28"/>
          <w:lang w:eastAsia="zh-CN"/>
        </w:rPr>
        <w:t>发强玻璃公司</w:t>
      </w:r>
      <w:r>
        <w:rPr>
          <w:rFonts w:hint="eastAsia"/>
          <w:sz w:val="28"/>
          <w:szCs w:val="28"/>
        </w:rPr>
        <w:t>将以此为契机,站在新的历史起点上,以环境经营标杆企业和大企业大集团的标准严格要求自己,走出一条科技含量高、经济效益好、资源消耗低、环境污染少的道路,加快建成绿色工厂,真心回馈人民,真诚服务社会。</w:t>
      </w:r>
      <w:r>
        <w:rPr>
          <w:rFonts w:hint="eastAsia"/>
          <w:sz w:val="28"/>
          <w:szCs w:val="28"/>
          <w:lang w:eastAsia="zh-CN"/>
        </w:rPr>
        <w:t>发强玻璃公司</w:t>
      </w:r>
      <w:r>
        <w:rPr>
          <w:rFonts w:hint="eastAsia"/>
          <w:sz w:val="28"/>
          <w:szCs w:val="28"/>
        </w:rPr>
        <w:t xml:space="preserve">竭诚希望通过 2010 年度环境报告书,进一步树立公司持续推动环境保护和绿色低碳发展的理念,强化公司员工的环保意识,保护我们共同生活的 地球自然资源和生态环境;让公司的全体利益相关者理解、支持我们的理想和行动。 </w:t>
      </w:r>
    </w:p>
    <w:p>
      <w:pPr>
        <w:keepNext w:val="0"/>
        <w:keepLines w:val="0"/>
        <w:pageBreakBefore w:val="0"/>
        <w:widowControl w:val="0"/>
        <w:kinsoku/>
        <w:wordWrap/>
        <w:overflowPunct/>
        <w:topLinePunct w:val="0"/>
        <w:autoSpaceDE/>
        <w:autoSpaceDN/>
        <w:bidi w:val="0"/>
        <w:adjustRightInd/>
        <w:snapToGrid/>
        <w:ind w:left="-209" w:leftChars="-95" w:right="383" w:rightChars="174" w:firstLine="0" w:firstLineChars="0"/>
        <w:jc w:val="both"/>
        <w:textAlignment w:val="auto"/>
        <w:rPr>
          <w:sz w:val="28"/>
          <w:szCs w:val="28"/>
        </w:rPr>
      </w:pPr>
    </w:p>
    <w:p>
      <w:pPr>
        <w:keepNext w:val="0"/>
        <w:keepLines w:val="0"/>
        <w:pageBreakBefore w:val="0"/>
        <w:widowControl w:val="0"/>
        <w:kinsoku/>
        <w:wordWrap/>
        <w:overflowPunct/>
        <w:topLinePunct w:val="0"/>
        <w:autoSpaceDE/>
        <w:autoSpaceDN/>
        <w:bidi w:val="0"/>
        <w:adjustRightInd/>
        <w:snapToGrid/>
        <w:ind w:left="-209" w:leftChars="-95" w:right="383" w:rightChars="174" w:firstLine="0" w:firstLineChars="0"/>
        <w:jc w:val="both"/>
        <w:textAlignment w:val="auto"/>
        <w:rPr>
          <w:rFonts w:hint="eastAsia" w:eastAsia="宋体"/>
          <w:sz w:val="28"/>
          <w:szCs w:val="28"/>
          <w:lang w:eastAsia="zh-CN"/>
        </w:rPr>
      </w:pPr>
      <w:r>
        <w:rPr>
          <w:rFonts w:hint="eastAsia"/>
          <w:sz w:val="28"/>
          <w:szCs w:val="28"/>
        </w:rPr>
        <w:t>　　</w:t>
      </w:r>
      <w:r>
        <w:rPr>
          <w:rFonts w:hint="eastAsia"/>
          <w:sz w:val="28"/>
          <w:szCs w:val="28"/>
          <w:lang w:val="en-US" w:eastAsia="zh-CN"/>
        </w:rPr>
        <w:t xml:space="preserve">                               </w:t>
      </w:r>
      <w:r>
        <w:rPr>
          <w:rFonts w:hint="eastAsia"/>
          <w:sz w:val="28"/>
          <w:szCs w:val="28"/>
          <w:lang w:eastAsia="zh-CN"/>
        </w:rPr>
        <w:t>发强玻璃公司</w:t>
      </w:r>
      <w:r>
        <w:rPr>
          <w:rFonts w:hint="eastAsia"/>
          <w:sz w:val="28"/>
          <w:szCs w:val="28"/>
        </w:rPr>
        <w:t xml:space="preserve">董事长 </w:t>
      </w:r>
      <w:r>
        <w:rPr>
          <w:rFonts w:hint="eastAsia"/>
          <w:sz w:val="28"/>
          <w:szCs w:val="28"/>
          <w:lang w:eastAsia="zh-CN"/>
        </w:rPr>
        <w:t>廖兴和</w:t>
      </w:r>
    </w:p>
    <w:p>
      <w:pPr>
        <w:pStyle w:val="6"/>
        <w:spacing w:before="11"/>
        <w:rPr>
          <w:b/>
          <w:sz w:val="20"/>
        </w:rPr>
      </w:pPr>
    </w:p>
    <w:p>
      <w:pPr>
        <w:spacing w:before="38"/>
        <w:ind w:left="2268" w:right="0" w:firstLine="0"/>
        <w:jc w:val="left"/>
        <w:rPr>
          <w:b/>
          <w:sz w:val="44"/>
        </w:rPr>
      </w:pPr>
      <w:r>
        <w:rPr>
          <w:b/>
          <w:sz w:val="44"/>
        </w:rPr>
        <w:t>二、企业概况及编制说明</w:t>
      </w:r>
    </w:p>
    <w:p>
      <w:pPr>
        <w:pStyle w:val="6"/>
        <w:spacing w:before="5"/>
        <w:rPr>
          <w:b/>
          <w:sz w:val="41"/>
        </w:rPr>
      </w:pPr>
    </w:p>
    <w:p>
      <w:pPr>
        <w:pStyle w:val="3"/>
        <w:numPr>
          <w:ilvl w:val="1"/>
          <w:numId w:val="1"/>
        </w:numPr>
        <w:tabs>
          <w:tab w:val="left" w:pos="1018"/>
        </w:tabs>
        <w:spacing w:before="0" w:after="0" w:line="240" w:lineRule="auto"/>
        <w:ind w:left="1017" w:right="0" w:hanging="480"/>
        <w:jc w:val="left"/>
      </w:pPr>
      <w:r>
        <w:t>企业概况</w:t>
      </w:r>
    </w:p>
    <w:p>
      <w:pPr>
        <w:pStyle w:val="6"/>
        <w:rPr>
          <w:rFonts w:ascii="黑体"/>
          <w:b/>
          <w:sz w:val="26"/>
        </w:rPr>
      </w:pPr>
    </w:p>
    <w:p>
      <w:pPr>
        <w:pStyle w:val="4"/>
        <w:numPr>
          <w:ilvl w:val="2"/>
          <w:numId w:val="1"/>
        </w:numPr>
        <w:tabs>
          <w:tab w:val="left" w:pos="1167"/>
        </w:tabs>
        <w:spacing w:before="0" w:after="0" w:line="240" w:lineRule="auto"/>
        <w:ind w:left="1166" w:right="0" w:hanging="629"/>
        <w:jc w:val="left"/>
      </w:pPr>
      <w:r>
        <w:t>企业名称、总部所在地、创建时间</w:t>
      </w:r>
    </w:p>
    <w:p>
      <w:pPr>
        <w:pStyle w:val="4"/>
        <w:numPr>
          <w:ilvl w:val="0"/>
          <w:numId w:val="0"/>
        </w:numPr>
        <w:tabs>
          <w:tab w:val="left" w:pos="1167"/>
        </w:tabs>
        <w:spacing w:before="0" w:after="0" w:line="240" w:lineRule="auto"/>
        <w:ind w:left="537" w:leftChars="0" w:right="0" w:rightChars="0"/>
        <w:jc w:val="left"/>
      </w:pPr>
      <w:r>
        <w:rPr>
          <w:rFonts w:hint="eastAsia"/>
          <w:lang w:eastAsia="zh-CN"/>
        </w:rPr>
        <w:t>安徽发强玻璃有限责任公司位于安徽省淮南市，成立于</w:t>
      </w:r>
      <w:r>
        <w:rPr>
          <w:rFonts w:hint="eastAsia"/>
          <w:lang w:val="en-US" w:eastAsia="zh-CN"/>
        </w:rPr>
        <w:t>2001年10月</w:t>
      </w:r>
    </w:p>
    <w:p>
      <w:pPr>
        <w:pStyle w:val="6"/>
        <w:spacing w:before="11"/>
        <w:rPr>
          <w:rFonts w:ascii="仿宋"/>
          <w:b/>
          <w:sz w:val="23"/>
        </w:rPr>
      </w:pPr>
    </w:p>
    <w:p>
      <w:pPr>
        <w:pStyle w:val="4"/>
        <w:numPr>
          <w:ilvl w:val="2"/>
          <w:numId w:val="1"/>
        </w:numPr>
        <w:tabs>
          <w:tab w:val="left" w:pos="1167"/>
        </w:tabs>
        <w:spacing w:before="118" w:after="0" w:line="240" w:lineRule="auto"/>
        <w:ind w:left="1166" w:right="0" w:hanging="629"/>
        <w:jc w:val="left"/>
      </w:pPr>
      <w:r>
        <w:t>总资产、销售额及员工人数</w:t>
      </w:r>
    </w:p>
    <w:p>
      <w:pPr>
        <w:pStyle w:val="6"/>
        <w:spacing w:before="8"/>
        <w:rPr>
          <w:rFonts w:ascii="仿宋"/>
          <w:b/>
          <w:sz w:val="23"/>
        </w:rPr>
      </w:pPr>
    </w:p>
    <w:p>
      <w:pPr>
        <w:pStyle w:val="6"/>
        <w:ind w:left="1017"/>
        <w:rPr>
          <w:rFonts w:hint="default" w:ascii="Times New Roman" w:eastAsia="宋体"/>
          <w:lang w:val="en-US" w:eastAsia="zh-CN"/>
        </w:rPr>
      </w:pPr>
      <w:r>
        <w:t xml:space="preserve">截止 </w:t>
      </w:r>
      <w:r>
        <w:rPr>
          <w:rFonts w:ascii="Times New Roman" w:eastAsia="Times New Roman"/>
        </w:rPr>
        <w:t>201</w:t>
      </w:r>
      <w:r>
        <w:rPr>
          <w:rFonts w:hint="eastAsia" w:ascii="Times New Roman"/>
          <w:lang w:val="en-US" w:eastAsia="zh-CN"/>
        </w:rPr>
        <w:t>8</w:t>
      </w:r>
      <w:r>
        <w:rPr>
          <w:rFonts w:ascii="Times New Roman" w:eastAsia="Times New Roman"/>
        </w:rPr>
        <w:t xml:space="preserve"> </w:t>
      </w:r>
      <w:r>
        <w:t xml:space="preserve">年年末，公司总资产为 </w:t>
      </w:r>
      <w:r>
        <w:rPr>
          <w:rFonts w:hint="eastAsia" w:ascii="Times New Roman"/>
          <w:lang w:val="en-US" w:eastAsia="zh-CN"/>
        </w:rPr>
        <w:t>15800</w:t>
      </w:r>
      <w:r>
        <w:t>万元，销售额为</w:t>
      </w:r>
      <w:r>
        <w:rPr>
          <w:rFonts w:hint="eastAsia"/>
          <w:lang w:val="en-US" w:eastAsia="zh-CN"/>
        </w:rPr>
        <w:t>31000</w:t>
      </w:r>
    </w:p>
    <w:p>
      <w:pPr>
        <w:pStyle w:val="6"/>
        <w:spacing w:before="161"/>
        <w:ind w:left="537"/>
      </w:pPr>
      <w:r>
        <w:t>万元，员工数为</w:t>
      </w:r>
      <w:r>
        <w:rPr>
          <w:rFonts w:hint="eastAsia"/>
          <w:lang w:val="en-US" w:eastAsia="zh-CN"/>
        </w:rPr>
        <w:t>1045</w:t>
      </w:r>
      <w:r>
        <w:t xml:space="preserve">人。公司组织机构见图 </w:t>
      </w:r>
      <w:r>
        <w:rPr>
          <w:rFonts w:ascii="Times New Roman" w:eastAsia="Times New Roman"/>
        </w:rPr>
        <w:t>2-1</w:t>
      </w:r>
      <w:r>
        <w:t>。</w:t>
      </w:r>
    </w:p>
    <w:p>
      <w:pPr>
        <w:spacing w:after="0"/>
        <w:sectPr>
          <w:headerReference r:id="rId4" w:type="default"/>
          <w:footerReference r:id="rId5" w:type="default"/>
          <w:pgSz w:w="11910" w:h="16840"/>
          <w:pgMar w:top="1360" w:right="1560" w:bottom="740" w:left="1260" w:header="878" w:footer="443" w:gutter="0"/>
        </w:sectPr>
      </w:pPr>
    </w:p>
    <w:p>
      <w:pPr>
        <w:pStyle w:val="6"/>
        <w:spacing w:before="11"/>
        <w:rPr>
          <w:sz w:val="4"/>
        </w:rPr>
      </w:pPr>
    </w:p>
    <w:p>
      <w:pPr>
        <w:pStyle w:val="6"/>
        <w:ind w:left="537"/>
        <w:rPr>
          <w:sz w:val="20"/>
        </w:rPr>
      </w:pPr>
    </w:p>
    <w:p>
      <w:pPr>
        <w:tabs>
          <w:tab w:val="left" w:pos="4387"/>
        </w:tabs>
        <w:spacing w:before="34"/>
        <w:ind w:left="3530" w:right="0" w:firstLine="0"/>
        <w:jc w:val="left"/>
        <w:rPr>
          <w:rFonts w:hint="eastAsia" w:ascii="仿宋" w:eastAsia="仿宋"/>
          <w:b/>
          <w:sz w:val="21"/>
        </w:rPr>
      </w:pPr>
      <w:r>
        <w:rPr>
          <w:rFonts w:hint="eastAsia" w:ascii="仿宋" w:eastAsia="仿宋"/>
          <w:b/>
          <w:sz w:val="21"/>
        </w:rPr>
        <w:t>图</w:t>
      </w:r>
      <w:r>
        <w:rPr>
          <w:rFonts w:hint="eastAsia" w:ascii="仿宋" w:eastAsia="仿宋"/>
          <w:b/>
          <w:spacing w:val="-55"/>
          <w:sz w:val="21"/>
        </w:rPr>
        <w:t xml:space="preserve"> </w:t>
      </w:r>
      <w:r>
        <w:rPr>
          <w:rFonts w:ascii="Times New Roman" w:eastAsia="Times New Roman"/>
          <w:b/>
          <w:sz w:val="21"/>
        </w:rPr>
        <w:t>2-1</w:t>
      </w:r>
      <w:r>
        <w:rPr>
          <w:rFonts w:ascii="Times New Roman" w:eastAsia="Times New Roman"/>
          <w:b/>
          <w:sz w:val="21"/>
        </w:rPr>
        <w:tab/>
      </w:r>
      <w:r>
        <w:rPr>
          <w:rFonts w:hint="eastAsia" w:ascii="仿宋" w:eastAsia="仿宋"/>
          <w:b/>
          <w:sz w:val="21"/>
        </w:rPr>
        <w:t>公司组织机构图</w:t>
      </w:r>
    </w:p>
    <w:p>
      <w:pPr>
        <w:pStyle w:val="6"/>
        <w:spacing w:before="5"/>
        <w:rPr>
          <w:rFonts w:ascii="仿宋"/>
          <w:b/>
          <w:sz w:val="20"/>
        </w:rPr>
      </w:pPr>
    </w:p>
    <w:p>
      <w:pPr>
        <w:pStyle w:val="4"/>
        <w:numPr>
          <w:ilvl w:val="2"/>
          <w:numId w:val="1"/>
        </w:numPr>
        <w:tabs>
          <w:tab w:val="left" w:pos="1167"/>
        </w:tabs>
        <w:spacing w:before="0" w:after="0" w:line="240" w:lineRule="auto"/>
        <w:ind w:left="1166" w:right="0" w:hanging="629"/>
        <w:jc w:val="left"/>
      </w:pPr>
      <w:r>
        <w:t>所属行业、主要产品或服务</w:t>
      </w:r>
    </w:p>
    <w:p>
      <w:pPr>
        <w:ind w:firstLine="1100" w:firstLineChars="500"/>
        <w:rPr>
          <w:rFonts w:hint="eastAsia" w:eastAsia="宋体"/>
          <w:lang w:val="en-US" w:eastAsia="zh-CN"/>
        </w:rPr>
      </w:pPr>
      <w:r>
        <w:rPr>
          <w:rFonts w:hint="eastAsia"/>
          <w:lang w:val="en-US" w:eastAsia="zh-CN"/>
        </w:rPr>
        <w:t>轻工行业，主要产品有玻璃器皿、玻璃瓶罐、高硼硅玻璃制品等系列产品。</w:t>
      </w:r>
    </w:p>
    <w:p>
      <w:pPr>
        <w:pStyle w:val="6"/>
        <w:spacing w:before="10"/>
        <w:rPr>
          <w:rFonts w:ascii="仿宋"/>
          <w:b/>
          <w:sz w:val="23"/>
        </w:rPr>
      </w:pPr>
    </w:p>
    <w:p>
      <w:pPr>
        <w:pStyle w:val="4"/>
        <w:numPr>
          <w:ilvl w:val="2"/>
          <w:numId w:val="1"/>
        </w:numPr>
        <w:tabs>
          <w:tab w:val="left" w:pos="1167"/>
        </w:tabs>
        <w:spacing w:before="120" w:after="0" w:line="240" w:lineRule="auto"/>
        <w:ind w:left="1166" w:right="0" w:hanging="629"/>
        <w:jc w:val="left"/>
      </w:pPr>
      <w:r>
        <w:t>经营理念及文化</w:t>
      </w:r>
    </w:p>
    <w:p>
      <w:pPr>
        <w:pStyle w:val="6"/>
        <w:spacing w:before="10"/>
        <w:rPr>
          <w:rFonts w:ascii="仿宋"/>
          <w:b/>
          <w:sz w:val="23"/>
        </w:rPr>
      </w:pPr>
    </w:p>
    <w:p>
      <w:pPr>
        <w:spacing w:line="540" w:lineRule="exact"/>
        <w:ind w:firstLine="1400" w:firstLineChars="500"/>
        <w:rPr>
          <w:rFonts w:hint="eastAsia" w:ascii="宋体" w:hAnsi="宋体" w:eastAsia="宋体" w:cs="宋体"/>
          <w:b w:val="0"/>
          <w:bCs w:val="0"/>
          <w:sz w:val="28"/>
          <w:szCs w:val="28"/>
        </w:rPr>
      </w:pPr>
      <w:r>
        <w:rPr>
          <w:rFonts w:hint="eastAsia" w:ascii="宋体" w:hAnsi="宋体" w:eastAsia="宋体" w:cs="宋体"/>
          <w:b w:val="0"/>
          <w:bCs w:val="0"/>
          <w:sz w:val="28"/>
          <w:szCs w:val="28"/>
        </w:rPr>
        <w:t>以人为本  预防为主  全员参与  诚信服务</w:t>
      </w:r>
    </w:p>
    <w:p>
      <w:pPr>
        <w:spacing w:line="540" w:lineRule="exact"/>
        <w:ind w:firstLine="1400" w:firstLineChars="500"/>
        <w:rPr>
          <w:rFonts w:hint="eastAsia" w:ascii="宋体" w:hAnsi="宋体" w:eastAsia="宋体" w:cs="宋体"/>
          <w:b w:val="0"/>
          <w:bCs w:val="0"/>
          <w:color w:val="FF0000"/>
          <w:sz w:val="28"/>
          <w:szCs w:val="28"/>
        </w:rPr>
      </w:pPr>
      <w:r>
        <w:rPr>
          <w:rFonts w:hint="eastAsia" w:ascii="宋体" w:hAnsi="宋体" w:eastAsia="宋体" w:cs="宋体"/>
          <w:b w:val="0"/>
          <w:bCs w:val="0"/>
          <w:sz w:val="28"/>
          <w:szCs w:val="28"/>
        </w:rPr>
        <w:t>追求卓越  求真务实  体系管理  持续改进</w:t>
      </w:r>
    </w:p>
    <w:p>
      <w:pPr>
        <w:spacing w:line="360" w:lineRule="auto"/>
        <w:rPr>
          <w:rFonts w:hint="eastAsia" w:ascii="宋体" w:hAnsi="宋体" w:eastAsia="宋体" w:cs="宋体"/>
          <w:b w:val="0"/>
          <w:bCs w:val="0"/>
          <w:color w:val="FF0000"/>
          <w:sz w:val="28"/>
          <w:szCs w:val="28"/>
        </w:rPr>
      </w:pPr>
    </w:p>
    <w:p>
      <w:pPr>
        <w:pStyle w:val="5"/>
        <w:spacing w:line="306" w:lineRule="exact"/>
        <w:rPr>
          <w:rFonts w:hint="eastAsia" w:ascii="宋体" w:eastAsia="宋体"/>
        </w:rPr>
      </w:pPr>
      <w:r>
        <w:rPr>
          <w:rFonts w:hint="eastAsia" w:ascii="宋体" w:eastAsia="宋体"/>
          <w:w w:val="95"/>
        </w:rPr>
        <w:t>质量理念</w:t>
      </w:r>
    </w:p>
    <w:p>
      <w:pPr>
        <w:spacing w:before="160" w:line="364" w:lineRule="auto"/>
        <w:ind w:left="1017" w:right="4947" w:firstLine="0"/>
        <w:jc w:val="left"/>
        <w:rPr>
          <w:b/>
          <w:sz w:val="24"/>
        </w:rPr>
      </w:pPr>
      <w:r>
        <w:rPr>
          <w:spacing w:val="-2"/>
          <w:sz w:val="24"/>
        </w:rPr>
        <w:t>追求一流品质，满足客户需求</w:t>
      </w:r>
      <w:r>
        <w:rPr>
          <w:b/>
          <w:sz w:val="24"/>
        </w:rPr>
        <w:t>安全理念</w:t>
      </w:r>
    </w:p>
    <w:p>
      <w:pPr>
        <w:spacing w:before="0" w:line="362" w:lineRule="auto"/>
        <w:ind w:left="1017" w:right="5907" w:firstLine="0"/>
        <w:jc w:val="left"/>
        <w:rPr>
          <w:b/>
          <w:sz w:val="24"/>
        </w:rPr>
      </w:pPr>
      <w:r>
        <w:rPr>
          <w:spacing w:val="-2"/>
          <w:sz w:val="24"/>
        </w:rPr>
        <w:t>珍爱生命，保障安全</w:t>
      </w:r>
      <w:r>
        <w:rPr>
          <w:b/>
          <w:sz w:val="24"/>
        </w:rPr>
        <w:t>企业使命</w:t>
      </w:r>
    </w:p>
    <w:p>
      <w:pPr>
        <w:spacing w:before="4" w:line="364" w:lineRule="auto"/>
        <w:ind w:left="1017" w:right="4947" w:firstLine="0"/>
        <w:jc w:val="left"/>
        <w:rPr>
          <w:sz w:val="24"/>
        </w:rPr>
        <w:sectPr>
          <w:pgSz w:w="11910" w:h="16840"/>
          <w:pgMar w:top="1360" w:right="1560" w:bottom="740" w:left="1260" w:header="878" w:footer="443" w:gutter="0"/>
        </w:sectPr>
      </w:pPr>
      <w:r>
        <w:rPr>
          <w:spacing w:val="-2"/>
          <w:sz w:val="24"/>
        </w:rPr>
        <w:t>高效利用资源，贡献社会进步</w:t>
      </w:r>
      <w:r>
        <w:rPr>
          <w:b/>
          <w:sz w:val="24"/>
        </w:rPr>
        <w:t>经营理念</w:t>
      </w:r>
    </w:p>
    <w:p>
      <w:pPr>
        <w:pStyle w:val="6"/>
        <w:spacing w:before="64"/>
      </w:pPr>
      <w:r>
        <w:t>与世界同步，与客户共赢</w:t>
      </w:r>
    </w:p>
    <w:p>
      <w:pPr>
        <w:pStyle w:val="3"/>
        <w:numPr>
          <w:ilvl w:val="1"/>
          <w:numId w:val="2"/>
        </w:numPr>
        <w:tabs>
          <w:tab w:val="left" w:pos="1018"/>
        </w:tabs>
        <w:spacing w:before="210" w:after="0" w:line="240" w:lineRule="auto"/>
        <w:ind w:left="1017" w:right="0" w:hanging="480"/>
        <w:jc w:val="left"/>
      </w:pPr>
      <w:r>
        <w:t>编制说明</w:t>
      </w:r>
    </w:p>
    <w:p>
      <w:pPr>
        <w:pStyle w:val="6"/>
        <w:rPr>
          <w:rFonts w:ascii="黑体"/>
          <w:b/>
          <w:sz w:val="26"/>
        </w:rPr>
      </w:pPr>
    </w:p>
    <w:p>
      <w:pPr>
        <w:pStyle w:val="4"/>
        <w:numPr>
          <w:ilvl w:val="2"/>
          <w:numId w:val="2"/>
        </w:numPr>
        <w:tabs>
          <w:tab w:val="left" w:pos="1167"/>
        </w:tabs>
        <w:spacing w:before="0" w:after="0" w:line="240" w:lineRule="auto"/>
        <w:ind w:left="1166" w:right="0" w:hanging="629"/>
        <w:jc w:val="left"/>
      </w:pPr>
      <w:r>
        <w:t>报告界限</w:t>
      </w:r>
    </w:p>
    <w:p>
      <w:pPr>
        <w:pStyle w:val="6"/>
        <w:spacing w:before="10"/>
        <w:rPr>
          <w:rFonts w:ascii="仿宋"/>
          <w:b/>
          <w:sz w:val="23"/>
        </w:rPr>
      </w:pPr>
    </w:p>
    <w:p>
      <w:pPr>
        <w:pStyle w:val="6"/>
        <w:spacing w:line="362" w:lineRule="auto"/>
        <w:ind w:left="537" w:right="236" w:firstLine="480"/>
      </w:pPr>
      <w:r>
        <w:rPr>
          <w:spacing w:val="-3"/>
        </w:rPr>
        <w:t>本企业环境报告书</w:t>
      </w:r>
      <w:r>
        <w:rPr>
          <w:rFonts w:hint="eastAsia"/>
          <w:spacing w:val="-3"/>
          <w:lang w:eastAsia="zh-CN"/>
        </w:rPr>
        <w:t>本</w:t>
      </w:r>
      <w:r>
        <w:t>公司。</w:t>
      </w:r>
    </w:p>
    <w:p>
      <w:pPr>
        <w:pStyle w:val="4"/>
        <w:numPr>
          <w:ilvl w:val="2"/>
          <w:numId w:val="2"/>
        </w:numPr>
        <w:tabs>
          <w:tab w:val="left" w:pos="1167"/>
        </w:tabs>
        <w:spacing w:before="126" w:after="0" w:line="240" w:lineRule="auto"/>
        <w:ind w:left="1166" w:right="0" w:hanging="629"/>
        <w:jc w:val="left"/>
      </w:pPr>
      <w:r>
        <w:t>报告时限</w:t>
      </w:r>
    </w:p>
    <w:p>
      <w:pPr>
        <w:pStyle w:val="6"/>
        <w:spacing w:before="10"/>
        <w:rPr>
          <w:rFonts w:ascii="仿宋"/>
          <w:b/>
          <w:sz w:val="23"/>
        </w:rPr>
      </w:pPr>
    </w:p>
    <w:p>
      <w:pPr>
        <w:pStyle w:val="6"/>
        <w:spacing w:before="1"/>
        <w:ind w:left="1017"/>
      </w:pPr>
      <w:r>
        <w:t>所提供信息时间范围为</w:t>
      </w:r>
      <w:r>
        <w:rPr>
          <w:rFonts w:hint="eastAsia"/>
          <w:lang w:val="en-US" w:eastAsia="zh-CN"/>
        </w:rPr>
        <w:t>2018年至2019</w:t>
      </w:r>
      <w:r>
        <w:t>年</w:t>
      </w:r>
      <w:r>
        <w:rPr>
          <w:rFonts w:hint="eastAsia"/>
          <w:lang w:val="en-US" w:eastAsia="zh-CN"/>
        </w:rPr>
        <w:t>7月</w:t>
      </w:r>
      <w:r>
        <w:t>。</w:t>
      </w:r>
    </w:p>
    <w:p>
      <w:pPr>
        <w:pStyle w:val="6"/>
        <w:spacing w:before="12"/>
        <w:rPr>
          <w:sz w:val="21"/>
        </w:rPr>
      </w:pPr>
    </w:p>
    <w:p>
      <w:pPr>
        <w:pStyle w:val="4"/>
        <w:numPr>
          <w:ilvl w:val="2"/>
          <w:numId w:val="2"/>
        </w:numPr>
        <w:tabs>
          <w:tab w:val="left" w:pos="1167"/>
        </w:tabs>
        <w:spacing w:before="0" w:after="0" w:line="240" w:lineRule="auto"/>
        <w:ind w:left="1166" w:right="0" w:hanging="629"/>
        <w:jc w:val="left"/>
      </w:pPr>
      <w:r>
        <w:t>保证和提高企业环境报告书准确性、可靠性的措施及承诺</w:t>
      </w:r>
    </w:p>
    <w:p>
      <w:pPr>
        <w:pStyle w:val="6"/>
        <w:spacing w:before="10"/>
        <w:rPr>
          <w:rFonts w:ascii="仿宋"/>
          <w:b/>
          <w:sz w:val="23"/>
        </w:rPr>
      </w:pPr>
    </w:p>
    <w:p>
      <w:pPr>
        <w:pStyle w:val="6"/>
        <w:spacing w:line="362" w:lineRule="auto"/>
        <w:ind w:left="537" w:right="236" w:firstLine="480"/>
      </w:pPr>
      <w:r>
        <w:rPr>
          <w:spacing w:val="-6"/>
        </w:rPr>
        <w:t>本公司承诺对报告内容的真实性负责，对数据的准确性和可靠性负责，违反</w:t>
      </w:r>
      <w:r>
        <w:t>上述承诺的不诚信行为，同意有关部门记录入相关的企业诚信体系中。</w:t>
      </w:r>
    </w:p>
    <w:p>
      <w:pPr>
        <w:pStyle w:val="4"/>
        <w:numPr>
          <w:ilvl w:val="2"/>
          <w:numId w:val="2"/>
        </w:numPr>
        <w:tabs>
          <w:tab w:val="left" w:pos="1167"/>
        </w:tabs>
        <w:spacing w:before="124" w:after="0" w:line="240" w:lineRule="auto"/>
        <w:ind w:left="1166" w:right="0" w:hanging="629"/>
        <w:jc w:val="left"/>
      </w:pPr>
      <w:r>
        <w:t>意见咨询及信息反馈方式</w:t>
      </w:r>
    </w:p>
    <w:p>
      <w:pPr>
        <w:pStyle w:val="6"/>
        <w:spacing w:before="10"/>
        <w:rPr>
          <w:rFonts w:ascii="仿宋"/>
          <w:b/>
          <w:sz w:val="23"/>
        </w:rPr>
      </w:pPr>
    </w:p>
    <w:p>
      <w:pPr>
        <w:pStyle w:val="6"/>
        <w:ind w:left="1017"/>
        <w:rPr>
          <w:rFonts w:hint="eastAsia" w:eastAsia="宋体"/>
          <w:lang w:eastAsia="zh-CN"/>
        </w:rPr>
      </w:pPr>
      <w:r>
        <w:t>联系人：</w:t>
      </w:r>
      <w:r>
        <w:rPr>
          <w:rFonts w:hint="eastAsia"/>
          <w:lang w:eastAsia="zh-CN"/>
        </w:rPr>
        <w:t>王阳山</w:t>
      </w:r>
    </w:p>
    <w:p>
      <w:pPr>
        <w:pStyle w:val="6"/>
        <w:spacing w:before="161"/>
        <w:ind w:left="1017"/>
        <w:rPr>
          <w:rFonts w:hint="default" w:ascii="Times New Roman" w:eastAsia="宋体"/>
          <w:lang w:val="en-US" w:eastAsia="zh-CN"/>
        </w:rPr>
      </w:pPr>
      <w:r>
        <w:t>联系电话：</w:t>
      </w:r>
      <w:r>
        <w:rPr>
          <w:rFonts w:hint="eastAsia" w:ascii="Times New Roman"/>
          <w:lang w:val="en-US" w:eastAsia="zh-CN"/>
        </w:rPr>
        <w:t>13305545695</w:t>
      </w:r>
    </w:p>
    <w:p>
      <w:pPr>
        <w:pStyle w:val="6"/>
        <w:spacing w:before="160"/>
        <w:ind w:left="1017"/>
        <w:rPr>
          <w:rFonts w:ascii="Times New Roman" w:eastAsia="Times New Roman"/>
        </w:rPr>
      </w:pPr>
      <w:r>
        <w:t>官方网址：</w:t>
      </w:r>
      <w:r>
        <w:fldChar w:fldCharType="begin"/>
      </w:r>
      <w:r>
        <w:instrText xml:space="preserve"> HYPERLINK "http://www.jinlongcopper.com/" \h </w:instrText>
      </w:r>
      <w:r>
        <w:fldChar w:fldCharType="separate"/>
      </w:r>
      <w:r>
        <w:rPr>
          <w:rFonts w:ascii="Times New Roman" w:eastAsia="Times New Roman"/>
        </w:rPr>
        <w:t>http://www</w:t>
      </w:r>
      <w:r>
        <w:rPr>
          <w:rFonts w:hint="eastAsia" w:ascii="Times New Roman"/>
          <w:lang w:val="en-US" w:eastAsia="zh-CN"/>
        </w:rPr>
        <w:t>cnfqbl</w:t>
      </w:r>
      <w:r>
        <w:rPr>
          <w:rFonts w:ascii="Times New Roman" w:eastAsia="Times New Roman"/>
        </w:rPr>
        <w:t>.com</w:t>
      </w:r>
      <w:r>
        <w:rPr>
          <w:rFonts w:ascii="Times New Roman" w:eastAsia="Times New Roman"/>
        </w:rPr>
        <w:fldChar w:fldCharType="end"/>
      </w:r>
    </w:p>
    <w:p>
      <w:pPr>
        <w:spacing w:after="0"/>
        <w:rPr>
          <w:rFonts w:ascii="Times New Roman" w:eastAsia="Times New Roman"/>
        </w:rPr>
        <w:sectPr>
          <w:pgSz w:w="11910" w:h="16840"/>
          <w:pgMar w:top="1360" w:right="1560" w:bottom="740" w:left="1260" w:header="878" w:footer="443" w:gutter="0"/>
        </w:sectPr>
      </w:pPr>
    </w:p>
    <w:p>
      <w:pPr>
        <w:pStyle w:val="6"/>
        <w:spacing w:before="3"/>
        <w:rPr>
          <w:rFonts w:ascii="Times New Roman"/>
          <w:sz w:val="23"/>
        </w:rPr>
      </w:pPr>
    </w:p>
    <w:p>
      <w:pPr>
        <w:pStyle w:val="2"/>
        <w:ind w:left="2928"/>
      </w:pPr>
      <w:r>
        <w:t>三、环境管理状况</w:t>
      </w:r>
    </w:p>
    <w:p>
      <w:pPr>
        <w:pStyle w:val="6"/>
        <w:spacing w:before="5"/>
        <w:rPr>
          <w:b/>
          <w:sz w:val="41"/>
        </w:rPr>
      </w:pPr>
    </w:p>
    <w:p>
      <w:pPr>
        <w:pStyle w:val="3"/>
        <w:numPr>
          <w:ilvl w:val="1"/>
          <w:numId w:val="3"/>
        </w:numPr>
        <w:tabs>
          <w:tab w:val="left" w:pos="1018"/>
        </w:tabs>
        <w:spacing w:before="0" w:after="0" w:line="240" w:lineRule="auto"/>
        <w:ind w:left="1017" w:right="0" w:hanging="480"/>
        <w:jc w:val="left"/>
      </w:pPr>
      <w:r>
        <w:t>环境管理结构及措施</w:t>
      </w:r>
    </w:p>
    <w:p>
      <w:pPr>
        <w:pStyle w:val="6"/>
        <w:rPr>
          <w:rFonts w:ascii="黑体"/>
          <w:b/>
          <w:sz w:val="26"/>
        </w:rPr>
      </w:pPr>
    </w:p>
    <w:p>
      <w:pPr>
        <w:pStyle w:val="4"/>
        <w:numPr>
          <w:ilvl w:val="2"/>
          <w:numId w:val="3"/>
        </w:numPr>
        <w:tabs>
          <w:tab w:val="left" w:pos="1167"/>
        </w:tabs>
        <w:spacing w:before="0" w:after="0" w:line="240" w:lineRule="auto"/>
        <w:ind w:left="1166" w:right="0" w:hanging="629"/>
        <w:jc w:val="left"/>
      </w:pPr>
      <w:r>
        <w:t>管理结构</w:t>
      </w:r>
    </w:p>
    <w:p>
      <w:pPr>
        <w:pStyle w:val="6"/>
        <w:spacing w:before="10"/>
        <w:rPr>
          <w:rFonts w:ascii="仿宋"/>
          <w:b/>
          <w:sz w:val="23"/>
        </w:rPr>
      </w:pPr>
    </w:p>
    <w:p>
      <w:pPr>
        <w:tabs>
          <w:tab w:val="left" w:pos="3967"/>
        </w:tabs>
        <w:spacing w:before="0"/>
        <w:ind w:left="440" w:leftChars="200" w:right="0" w:firstLine="560" w:firstLineChars="200"/>
        <w:jc w:val="both"/>
        <w:rPr>
          <w:rFonts w:hint="eastAsia" w:ascii="仿宋" w:eastAsia="仿宋"/>
          <w:b/>
          <w:sz w:val="24"/>
          <w:szCs w:val="28"/>
        </w:rPr>
      </w:pPr>
      <w:r>
        <w:rPr>
          <w:sz w:val="28"/>
          <w:szCs w:val="28"/>
        </w:rPr>
        <w:t>公司设有安全环保</w:t>
      </w:r>
      <w:r>
        <w:rPr>
          <w:rFonts w:hint="eastAsia"/>
          <w:sz w:val="28"/>
          <w:szCs w:val="28"/>
          <w:lang w:eastAsia="zh-CN"/>
        </w:rPr>
        <w:t>科</w:t>
      </w:r>
      <w:r>
        <w:rPr>
          <w:sz w:val="28"/>
          <w:szCs w:val="28"/>
        </w:rPr>
        <w:t xml:space="preserve">，专门负责处理本公司安全与环境保护方面的工 </w:t>
      </w:r>
      <w:r>
        <w:rPr>
          <w:spacing w:val="-1"/>
          <w:sz w:val="28"/>
          <w:szCs w:val="28"/>
        </w:rPr>
        <w:t>作。各工段配备专职环保管理人员，负责日常环保工作，对污染源的治理改造、</w:t>
      </w:r>
      <w:r>
        <w:rPr>
          <w:spacing w:val="-5"/>
          <w:sz w:val="28"/>
          <w:szCs w:val="28"/>
        </w:rPr>
        <w:t>环保设备设施的运行及宣传教育实施监督管理。公司</w:t>
      </w:r>
      <w:r>
        <w:rPr>
          <w:rFonts w:hint="eastAsia"/>
          <w:spacing w:val="-5"/>
          <w:sz w:val="28"/>
          <w:szCs w:val="28"/>
          <w:lang w:eastAsia="zh-CN"/>
        </w:rPr>
        <w:t>安环科</w:t>
      </w:r>
      <w:r>
        <w:rPr>
          <w:spacing w:val="-5"/>
          <w:sz w:val="28"/>
          <w:szCs w:val="28"/>
        </w:rPr>
        <w:t>定期组织检查考</w:t>
      </w:r>
      <w:r>
        <w:rPr>
          <w:spacing w:val="-6"/>
          <w:sz w:val="28"/>
          <w:szCs w:val="28"/>
        </w:rPr>
        <w:t>核，形成了各级领导重视，环保部门监督管理，基层单位负责的环保管理体系。</w:t>
      </w:r>
    </w:p>
    <w:p>
      <w:pPr>
        <w:pStyle w:val="6"/>
        <w:spacing w:before="7"/>
        <w:rPr>
          <w:rFonts w:ascii="仿宋"/>
          <w:b/>
          <w:sz w:val="22"/>
          <w:szCs w:val="32"/>
        </w:rPr>
      </w:pPr>
      <w:bookmarkStart w:id="0" w:name="_GoBack"/>
      <w:bookmarkEnd w:id="0"/>
    </w:p>
    <w:p>
      <w:pPr>
        <w:pStyle w:val="4"/>
        <w:numPr>
          <w:ilvl w:val="2"/>
          <w:numId w:val="3"/>
        </w:numPr>
        <w:tabs>
          <w:tab w:val="left" w:pos="1167"/>
        </w:tabs>
        <w:spacing w:before="0" w:after="0" w:line="240" w:lineRule="auto"/>
        <w:ind w:left="1166" w:right="0" w:hanging="629"/>
        <w:jc w:val="left"/>
      </w:pPr>
      <w:r>
        <w:t>环境管理体制和制度</w:t>
      </w:r>
    </w:p>
    <w:p>
      <w:pPr>
        <w:pStyle w:val="6"/>
        <w:spacing w:before="8"/>
        <w:rPr>
          <w:rFonts w:ascii="仿宋"/>
          <w:b/>
          <w:sz w:val="23"/>
        </w:rPr>
      </w:pPr>
    </w:p>
    <w:p>
      <w:pPr>
        <w:pStyle w:val="6"/>
        <w:spacing w:line="364" w:lineRule="auto"/>
        <w:ind w:left="537" w:right="236" w:firstLine="480"/>
        <w:jc w:val="both"/>
      </w:pPr>
      <w:r>
        <w:rPr>
          <w:spacing w:val="-7"/>
        </w:rPr>
        <w:t>结合环境保护管理的实际，公司制定了《环境保护管理办法》、《突发性环</w:t>
      </w:r>
      <w:r>
        <w:rPr>
          <w:spacing w:val="-10"/>
        </w:rPr>
        <w:t>境事故应急预案》、《危险废物管理标准》、《放射源安全管理标准》等规章制</w:t>
      </w:r>
      <w:r>
        <w:rPr>
          <w:spacing w:val="-11"/>
        </w:rPr>
        <w:t>度，指导公司的环保管理工作，明确规定了公司领导及员工在保方面的责任与义</w:t>
      </w:r>
    </w:p>
    <w:p>
      <w:pPr>
        <w:spacing w:after="0" w:line="364" w:lineRule="auto"/>
        <w:jc w:val="both"/>
        <w:sectPr>
          <w:pgSz w:w="11910" w:h="16840"/>
          <w:pgMar w:top="1360" w:right="1560" w:bottom="740" w:left="1260" w:header="878" w:footer="443" w:gutter="0"/>
        </w:sectPr>
      </w:pPr>
    </w:p>
    <w:p>
      <w:pPr>
        <w:pStyle w:val="6"/>
        <w:spacing w:before="64" w:line="364" w:lineRule="auto"/>
        <w:ind w:left="480" w:leftChars="218" w:right="116" w:firstLine="0" w:firstLineChars="0"/>
      </w:pPr>
      <w:r>
        <w:rPr>
          <w:spacing w:val="-8"/>
        </w:rPr>
        <w:t>务。公司严格执行环境影响评价和环保设施与主体工程同时设计、同时施工、同</w:t>
      </w:r>
      <w:r>
        <w:rPr>
          <w:spacing w:val="-17"/>
        </w:rPr>
        <w:t>时投产的“三同时”制度，坚决做到严格执行国家标准，符合国家相关环保标准，</w:t>
      </w:r>
      <w:r>
        <w:t>做到达标排放。</w:t>
      </w:r>
    </w:p>
    <w:p>
      <w:pPr>
        <w:pStyle w:val="6"/>
        <w:spacing w:line="364" w:lineRule="auto"/>
        <w:ind w:left="537" w:right="116" w:firstLine="480"/>
      </w:pPr>
      <w:r>
        <w:rPr>
          <w:spacing w:val="-12"/>
        </w:rPr>
        <w:t>公司自觉遵守环境保护的法律法规，大力推行清洁生产工作，通过全员培训、</w:t>
      </w:r>
      <w:r>
        <w:rPr>
          <w:spacing w:val="-16"/>
        </w:rPr>
        <w:t xml:space="preserve">优化生产工艺、提高生产装备水平、采用新技术、新工艺和新型环保材料等手段， </w:t>
      </w:r>
      <w:r>
        <w:rPr>
          <w:spacing w:val="-9"/>
        </w:rPr>
        <w:t>实现清洁生产。从而降低能源消耗和提高能源利用效率，促进节能减排目标的实现。</w:t>
      </w:r>
    </w:p>
    <w:p>
      <w:pPr>
        <w:pStyle w:val="4"/>
        <w:numPr>
          <w:ilvl w:val="2"/>
          <w:numId w:val="3"/>
        </w:numPr>
        <w:tabs>
          <w:tab w:val="left" w:pos="1167"/>
        </w:tabs>
        <w:spacing w:before="117" w:after="0" w:line="240" w:lineRule="auto"/>
        <w:ind w:left="1166" w:right="0" w:hanging="629"/>
        <w:jc w:val="left"/>
      </w:pPr>
      <w:r>
        <w:rPr>
          <w:rFonts w:hint="eastAsia" w:eastAsia="宋体"/>
          <w:spacing w:val="69"/>
          <w:lang w:eastAsia="zh-CN"/>
        </w:rPr>
        <w:t>公司开展了</w:t>
      </w:r>
      <w:r>
        <w:rPr>
          <w:rFonts w:ascii="Times New Roman" w:eastAsia="Times New Roman"/>
        </w:rPr>
        <w:t>ISO14001</w:t>
      </w:r>
      <w:r>
        <w:rPr>
          <w:rFonts w:ascii="Times New Roman" w:eastAsia="Times New Roman"/>
          <w:spacing w:val="-3"/>
        </w:rPr>
        <w:t xml:space="preserve"> </w:t>
      </w:r>
      <w:r>
        <w:t>认证及开展清洁生产情况</w:t>
      </w:r>
    </w:p>
    <w:p>
      <w:pPr>
        <w:pStyle w:val="6"/>
        <w:spacing w:before="11"/>
        <w:rPr>
          <w:rFonts w:ascii="仿宋"/>
          <w:b/>
          <w:sz w:val="23"/>
        </w:rPr>
      </w:pPr>
    </w:p>
    <w:p>
      <w:pPr>
        <w:pStyle w:val="6"/>
        <w:spacing w:before="158" w:line="364" w:lineRule="auto"/>
        <w:ind w:left="537" w:right="236"/>
        <w:rPr>
          <w:rFonts w:hint="eastAsia" w:eastAsia="宋体"/>
          <w:lang w:eastAsia="zh-CN"/>
        </w:rPr>
      </w:pPr>
      <w:r>
        <w:t xml:space="preserve">公司 </w:t>
      </w:r>
      <w:r>
        <w:rPr>
          <w:rFonts w:ascii="Times New Roman" w:eastAsia="Times New Roman"/>
        </w:rPr>
        <w:t>201</w:t>
      </w:r>
      <w:r>
        <w:rPr>
          <w:rFonts w:hint="eastAsia" w:ascii="Times New Roman"/>
          <w:lang w:val="en-US" w:eastAsia="zh-CN"/>
        </w:rPr>
        <w:t>9</w:t>
      </w:r>
      <w:r>
        <w:rPr>
          <w:rFonts w:ascii="Times New Roman" w:eastAsia="Times New Roman"/>
        </w:rPr>
        <w:t xml:space="preserve"> </w:t>
      </w:r>
      <w:r>
        <w:t>年</w:t>
      </w:r>
      <w:r>
        <w:rPr>
          <w:rFonts w:hint="eastAsia"/>
          <w:lang w:val="en-US" w:eastAsia="zh-CN"/>
        </w:rPr>
        <w:t>7月20-22日</w:t>
      </w:r>
      <w:r>
        <w:t>进行环境管理体系认证</w:t>
      </w:r>
      <w:r>
        <w:rPr>
          <w:rFonts w:hint="eastAsia"/>
          <w:lang w:eastAsia="zh-CN"/>
        </w:rPr>
        <w:t>初次审核。</w:t>
      </w:r>
    </w:p>
    <w:p>
      <w:pPr>
        <w:pStyle w:val="6"/>
        <w:spacing w:before="5" w:line="364" w:lineRule="auto"/>
        <w:ind w:right="387" w:firstLine="630" w:firstLineChars="300"/>
        <w:rPr>
          <w:rFonts w:hint="eastAsia" w:eastAsia="宋体"/>
          <w:lang w:eastAsia="zh-CN"/>
        </w:rPr>
      </w:pPr>
      <w:r>
        <w:rPr>
          <w:spacing w:val="-15"/>
        </w:rPr>
        <w:t xml:space="preserve">公司于 </w:t>
      </w:r>
      <w:r>
        <w:rPr>
          <w:rFonts w:ascii="Times New Roman" w:eastAsia="Times New Roman"/>
        </w:rPr>
        <w:t>201</w:t>
      </w:r>
      <w:r>
        <w:rPr>
          <w:rFonts w:hint="eastAsia" w:ascii="Times New Roman"/>
          <w:lang w:val="en-US" w:eastAsia="zh-CN"/>
        </w:rPr>
        <w:t>8</w:t>
      </w:r>
      <w:r>
        <w:rPr>
          <w:rFonts w:ascii="Times New Roman" w:eastAsia="Times New Roman"/>
        </w:rPr>
        <w:t xml:space="preserve"> </w:t>
      </w:r>
      <w:r>
        <w:rPr>
          <w:spacing w:val="-30"/>
        </w:rPr>
        <w:t xml:space="preserve">年 </w:t>
      </w:r>
      <w:r>
        <w:rPr>
          <w:rFonts w:ascii="Times New Roman" w:eastAsia="Times New Roman"/>
        </w:rPr>
        <w:t xml:space="preserve">5 </w:t>
      </w:r>
      <w:r>
        <w:t>月成立了清洁生产小组，</w:t>
      </w:r>
      <w:r>
        <w:rPr>
          <w:spacing w:val="-10"/>
        </w:rPr>
        <w:t>清洁生产审核，</w:t>
      </w:r>
      <w:r>
        <w:rPr>
          <w:rFonts w:hint="eastAsia"/>
          <w:spacing w:val="-10"/>
          <w:lang w:eastAsia="zh-CN"/>
        </w:rPr>
        <w:t>且通过评审。</w:t>
      </w:r>
    </w:p>
    <w:p>
      <w:pPr>
        <w:pStyle w:val="4"/>
        <w:numPr>
          <w:ilvl w:val="2"/>
          <w:numId w:val="3"/>
        </w:numPr>
        <w:tabs>
          <w:tab w:val="left" w:pos="1167"/>
        </w:tabs>
        <w:spacing w:before="120" w:after="0" w:line="240" w:lineRule="auto"/>
        <w:ind w:left="1166" w:right="0" w:hanging="629"/>
        <w:jc w:val="left"/>
      </w:pPr>
      <w:r>
        <w:t>与环保相关的教育及培训情况</w:t>
      </w:r>
    </w:p>
    <w:p>
      <w:pPr>
        <w:pStyle w:val="6"/>
        <w:spacing w:before="10"/>
        <w:rPr>
          <w:rFonts w:ascii="仿宋"/>
          <w:b/>
          <w:sz w:val="23"/>
        </w:rPr>
      </w:pPr>
    </w:p>
    <w:p>
      <w:pPr>
        <w:pStyle w:val="6"/>
        <w:spacing w:line="364" w:lineRule="auto"/>
        <w:ind w:left="537" w:right="236" w:firstLine="480"/>
        <w:jc w:val="both"/>
        <w:rPr>
          <w:rFonts w:hint="eastAsia" w:eastAsia="宋体"/>
          <w:lang w:eastAsia="zh-CN"/>
        </w:rPr>
        <w:sectPr>
          <w:pgSz w:w="11910" w:h="16840"/>
          <w:pgMar w:top="1360" w:right="1560" w:bottom="740" w:left="1260" w:header="878" w:footer="443" w:gutter="0"/>
        </w:sectPr>
      </w:pPr>
      <w:r>
        <w:rPr>
          <w:spacing w:val="-7"/>
        </w:rPr>
        <w:t>公司对新进厂员工进行三级环保教育，使每名员工对公司的环保情况做到</w:t>
      </w:r>
      <w:r>
        <w:rPr>
          <w:rFonts w:hint="eastAsia"/>
          <w:spacing w:val="-7"/>
          <w:lang w:eastAsia="zh-CN"/>
        </w:rPr>
        <w:t>基</w:t>
      </w:r>
      <w:r>
        <w:rPr>
          <w:spacing w:val="-6"/>
        </w:rPr>
        <w:t>本了解。每年结合“六</w:t>
      </w:r>
      <w:r>
        <w:rPr>
          <w:spacing w:val="-17"/>
        </w:rPr>
        <w:t>·</w:t>
      </w:r>
      <w:r>
        <w:rPr>
          <w:spacing w:val="-6"/>
        </w:rPr>
        <w:t>五”世界环境日进行集中宣传培训，开展形式多样的宣</w:t>
      </w:r>
      <w:r>
        <w:rPr>
          <w:spacing w:val="-9"/>
        </w:rPr>
        <w:t>传教育活动，提高职工的环保意识。根据有关部门的安排，针对危险废物的规范化管理进行专业环保培训，提高管理水平，丰富专业知</w:t>
      </w:r>
      <w:r>
        <w:t>识</w:t>
      </w:r>
    </w:p>
    <w:p>
      <w:pPr>
        <w:pStyle w:val="3"/>
        <w:numPr>
          <w:ilvl w:val="1"/>
          <w:numId w:val="4"/>
        </w:numPr>
        <w:tabs>
          <w:tab w:val="left" w:pos="1018"/>
        </w:tabs>
        <w:spacing w:before="65" w:after="0" w:line="240" w:lineRule="auto"/>
        <w:ind w:left="1017" w:right="0" w:hanging="480"/>
        <w:jc w:val="left"/>
      </w:pPr>
      <w:r>
        <w:t>环境信息公开及交流情况</w:t>
      </w:r>
    </w:p>
    <w:p>
      <w:pPr>
        <w:pStyle w:val="6"/>
        <w:rPr>
          <w:rFonts w:ascii="黑体"/>
          <w:b/>
          <w:sz w:val="26"/>
        </w:rPr>
      </w:pPr>
    </w:p>
    <w:p>
      <w:pPr>
        <w:pStyle w:val="4"/>
        <w:numPr>
          <w:ilvl w:val="2"/>
          <w:numId w:val="4"/>
        </w:numPr>
        <w:tabs>
          <w:tab w:val="left" w:pos="1167"/>
        </w:tabs>
        <w:spacing w:before="0" w:after="0" w:line="240" w:lineRule="auto"/>
        <w:ind w:left="1166" w:right="0" w:hanging="629"/>
        <w:jc w:val="left"/>
      </w:pPr>
      <w:r>
        <w:t>环境信息公开方式</w:t>
      </w:r>
    </w:p>
    <w:p>
      <w:pPr>
        <w:pStyle w:val="6"/>
        <w:spacing w:before="11"/>
        <w:rPr>
          <w:rFonts w:ascii="仿宋"/>
          <w:b/>
          <w:sz w:val="23"/>
        </w:rPr>
      </w:pPr>
    </w:p>
    <w:p>
      <w:pPr>
        <w:pStyle w:val="6"/>
        <w:spacing w:line="362" w:lineRule="auto"/>
        <w:ind w:left="537" w:right="236" w:firstLine="480"/>
      </w:pPr>
      <w:r>
        <w:rPr>
          <w:spacing w:val="-11"/>
        </w:rPr>
        <w:t>根据《企业事业单位环境信息公开办法》，公司在</w:t>
      </w:r>
      <w:r>
        <w:rPr>
          <w:rFonts w:hint="eastAsia"/>
          <w:spacing w:val="-11"/>
          <w:lang w:eastAsia="zh-CN"/>
        </w:rPr>
        <w:t>企业</w:t>
      </w:r>
      <w:r>
        <w:rPr>
          <w:spacing w:val="-11"/>
        </w:rPr>
        <w:t>网站公开企业基本信息；排污信息；防治污染设施的建设和运行情况；建设项目环境影响评价及</w:t>
      </w:r>
    </w:p>
    <w:p>
      <w:pPr>
        <w:pStyle w:val="6"/>
        <w:spacing w:before="2" w:line="364" w:lineRule="auto"/>
        <w:ind w:left="537" w:right="116"/>
        <w:jc w:val="both"/>
      </w:pPr>
      <w:r>
        <w:rPr>
          <w:spacing w:val="-9"/>
        </w:rPr>
        <w:t>“三同时”制度执行情况列表；突发环境应急预案等内容。</w:t>
      </w:r>
    </w:p>
    <w:p>
      <w:pPr>
        <w:pStyle w:val="4"/>
        <w:numPr>
          <w:ilvl w:val="2"/>
          <w:numId w:val="4"/>
        </w:numPr>
        <w:tabs>
          <w:tab w:val="left" w:pos="1167"/>
        </w:tabs>
        <w:spacing w:before="121" w:after="0" w:line="240" w:lineRule="auto"/>
        <w:ind w:left="1166" w:right="0" w:hanging="629"/>
        <w:jc w:val="left"/>
      </w:pPr>
      <w:r>
        <w:t>与利益相关者进行环境信息交流情况</w:t>
      </w:r>
    </w:p>
    <w:p/>
    <w:p>
      <w:pPr>
        <w:jc w:val="center"/>
        <w:rPr>
          <w:rFonts w:hint="eastAsia" w:eastAsia="黑体"/>
          <w:b/>
          <w:sz w:val="40"/>
        </w:rPr>
      </w:pPr>
      <w:r>
        <w:rPr>
          <w:rFonts w:hint="eastAsia" w:eastAsia="黑体"/>
          <w:b/>
          <w:sz w:val="40"/>
        </w:rPr>
        <w:t>重点实施影响的相关方一览表</w:t>
      </w:r>
    </w:p>
    <w:p>
      <w:pPr>
        <w:rPr>
          <w:rFonts w:hint="eastAsia"/>
        </w:rPr>
      </w:pPr>
    </w:p>
    <w:p>
      <w:pPr>
        <w:ind w:left="-110" w:leftChars="-50" w:right="-1857" w:rightChars="-844"/>
        <w:rPr>
          <w:rFonts w:hint="eastAsia"/>
          <w:sz w:val="24"/>
        </w:rPr>
      </w:pPr>
      <w:r>
        <w:rPr>
          <w:sz w:val="24"/>
        </w:rPr>
        <w:t>NO.</w:t>
      </w:r>
      <w:r>
        <w:rPr>
          <w:rFonts w:hint="eastAsia"/>
          <w:sz w:val="24"/>
        </w:rPr>
        <w:t xml:space="preserve">                                                      编号 </w:t>
      </w:r>
    </w:p>
    <w:tbl>
      <w:tblPr>
        <w:tblStyle w:val="7"/>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2887"/>
        <w:gridCol w:w="2791"/>
        <w:gridCol w:w="1169"/>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jc w:val="center"/>
              <w:rPr>
                <w:rFonts w:hint="eastAsia"/>
                <w:sz w:val="24"/>
              </w:rPr>
            </w:pPr>
            <w:r>
              <w:rPr>
                <w:rFonts w:hint="eastAsia"/>
                <w:sz w:val="24"/>
              </w:rPr>
              <w:t>序号</w:t>
            </w:r>
          </w:p>
        </w:tc>
        <w:tc>
          <w:tcPr>
            <w:tcW w:w="2887" w:type="dxa"/>
            <w:noWrap w:val="0"/>
            <w:vAlign w:val="top"/>
          </w:tcPr>
          <w:p>
            <w:pPr>
              <w:spacing w:line="360" w:lineRule="auto"/>
              <w:jc w:val="center"/>
              <w:rPr>
                <w:rFonts w:hint="eastAsia"/>
                <w:sz w:val="24"/>
              </w:rPr>
            </w:pPr>
            <w:r>
              <w:rPr>
                <w:rFonts w:hint="eastAsia"/>
                <w:sz w:val="24"/>
              </w:rPr>
              <w:t>相  关  方</w:t>
            </w:r>
          </w:p>
        </w:tc>
        <w:tc>
          <w:tcPr>
            <w:tcW w:w="2791" w:type="dxa"/>
            <w:noWrap w:val="0"/>
            <w:vAlign w:val="top"/>
          </w:tcPr>
          <w:p>
            <w:pPr>
              <w:spacing w:line="360" w:lineRule="auto"/>
              <w:jc w:val="center"/>
              <w:rPr>
                <w:rFonts w:hint="eastAsia"/>
                <w:sz w:val="24"/>
              </w:rPr>
            </w:pPr>
            <w:r>
              <w:rPr>
                <w:rFonts w:hint="eastAsia"/>
                <w:sz w:val="24"/>
              </w:rPr>
              <w:t>因    素</w:t>
            </w:r>
          </w:p>
        </w:tc>
        <w:tc>
          <w:tcPr>
            <w:tcW w:w="1169" w:type="dxa"/>
            <w:noWrap w:val="0"/>
            <w:vAlign w:val="top"/>
          </w:tcPr>
          <w:p>
            <w:pPr>
              <w:spacing w:line="360" w:lineRule="auto"/>
              <w:jc w:val="center"/>
              <w:rPr>
                <w:rFonts w:hint="eastAsia"/>
                <w:sz w:val="24"/>
              </w:rPr>
            </w:pPr>
            <w:r>
              <w:rPr>
                <w:rFonts w:hint="eastAsia"/>
                <w:sz w:val="24"/>
              </w:rPr>
              <w:t>日期</w:t>
            </w:r>
          </w:p>
        </w:tc>
        <w:tc>
          <w:tcPr>
            <w:tcW w:w="1416" w:type="dxa"/>
            <w:noWrap w:val="0"/>
            <w:vAlign w:val="top"/>
          </w:tcPr>
          <w:p>
            <w:pPr>
              <w:spacing w:line="360" w:lineRule="auto"/>
              <w:jc w:val="center"/>
              <w:rPr>
                <w:rFonts w:hint="eastAsia"/>
                <w:sz w:val="24"/>
              </w:rPr>
            </w:pPr>
            <w:r>
              <w:rPr>
                <w:rFonts w:hint="eastAsia"/>
                <w:sz w:val="24"/>
              </w:rPr>
              <w:t>相关方签名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8" w:hRule="atLeast"/>
        </w:trPr>
        <w:tc>
          <w:tcPr>
            <w:tcW w:w="821" w:type="dxa"/>
            <w:noWrap w:val="0"/>
            <w:vAlign w:val="top"/>
          </w:tcPr>
          <w:p>
            <w:pPr>
              <w:spacing w:line="360" w:lineRule="auto"/>
              <w:rPr>
                <w:rFonts w:hint="eastAsia"/>
              </w:rPr>
            </w:pPr>
            <w:r>
              <w:rPr>
                <w:rFonts w:hint="eastAsia"/>
              </w:rPr>
              <w:t>1</w:t>
            </w:r>
          </w:p>
        </w:tc>
        <w:tc>
          <w:tcPr>
            <w:tcW w:w="2887" w:type="dxa"/>
            <w:noWrap w:val="0"/>
            <w:vAlign w:val="top"/>
          </w:tcPr>
          <w:p>
            <w:pPr>
              <w:spacing w:line="360" w:lineRule="auto"/>
              <w:rPr>
                <w:rFonts w:hint="eastAsia"/>
                <w:spacing w:val="-20"/>
                <w:szCs w:val="21"/>
              </w:rPr>
            </w:pPr>
            <w:r>
              <w:rPr>
                <w:rFonts w:hint="eastAsia"/>
                <w:lang w:eastAsia="zh-CN"/>
              </w:rPr>
              <w:t>苏州东海玻璃模具公司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default" w:eastAsia="宋体"/>
                <w:lang w:val="en-US" w:eastAsia="zh-CN"/>
              </w:rPr>
            </w:pPr>
            <w:r>
              <w:rPr>
                <w:rFonts w:hint="eastAsia"/>
                <w:lang w:val="en-US" w:eastAsia="zh-CN"/>
              </w:rPr>
              <w:t xml:space="preserve"> 2019年3月</w:t>
            </w:r>
          </w:p>
        </w:tc>
        <w:tc>
          <w:tcPr>
            <w:tcW w:w="1416" w:type="dxa"/>
            <w:noWrap w:val="0"/>
            <w:vAlign w:val="top"/>
          </w:tcPr>
          <w:p>
            <w:pPr>
              <w:spacing w:line="360" w:lineRule="auto"/>
              <w:rPr>
                <w:rFonts w:hint="default" w:eastAsia="宋体"/>
                <w:lang w:val="en-US" w:eastAsia="zh-CN"/>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rPr>
            </w:pPr>
            <w:r>
              <w:rPr>
                <w:rFonts w:hint="eastAsia"/>
              </w:rPr>
              <w:t>2.</w:t>
            </w:r>
          </w:p>
        </w:tc>
        <w:tc>
          <w:tcPr>
            <w:tcW w:w="2887" w:type="dxa"/>
            <w:noWrap w:val="0"/>
            <w:vAlign w:val="top"/>
          </w:tcPr>
          <w:p>
            <w:pPr>
              <w:spacing w:line="360" w:lineRule="auto"/>
              <w:rPr>
                <w:rFonts w:hint="eastAsia"/>
                <w:szCs w:val="21"/>
              </w:rPr>
            </w:pPr>
            <w:r>
              <w:rPr>
                <w:rFonts w:hint="eastAsia"/>
                <w:lang w:eastAsia="zh-CN"/>
              </w:rPr>
              <w:t>常熟伟恒模具铸造公司</w:t>
            </w:r>
          </w:p>
        </w:tc>
        <w:tc>
          <w:tcPr>
            <w:tcW w:w="2791" w:type="dxa"/>
            <w:noWrap w:val="0"/>
            <w:vAlign w:val="top"/>
          </w:tcPr>
          <w:p>
            <w:pPr>
              <w:numPr>
                <w:ilvl w:val="0"/>
                <w:numId w:val="0"/>
              </w:numPr>
              <w:spacing w:line="360" w:lineRule="auto"/>
              <w:ind w:leftChars="0"/>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eastAsia="宋体"/>
                <w:lang w:eastAsia="zh-CN"/>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rPr>
            </w:pPr>
            <w:r>
              <w:rPr>
                <w:rFonts w:hint="eastAsia"/>
              </w:rPr>
              <w:t>3</w:t>
            </w:r>
          </w:p>
        </w:tc>
        <w:tc>
          <w:tcPr>
            <w:tcW w:w="2887" w:type="dxa"/>
            <w:noWrap w:val="0"/>
            <w:vAlign w:val="top"/>
          </w:tcPr>
          <w:p>
            <w:pPr>
              <w:spacing w:line="360" w:lineRule="auto"/>
              <w:rPr>
                <w:rFonts w:hint="eastAsia"/>
                <w:spacing w:val="-20"/>
                <w:szCs w:val="21"/>
              </w:rPr>
            </w:pPr>
            <w:r>
              <w:rPr>
                <w:rFonts w:hint="eastAsia"/>
                <w:lang w:eastAsia="zh-CN"/>
              </w:rPr>
              <w:t>山东三金玻璃机械有限公司</w:t>
            </w:r>
          </w:p>
        </w:tc>
        <w:tc>
          <w:tcPr>
            <w:tcW w:w="2791" w:type="dxa"/>
            <w:noWrap w:val="0"/>
            <w:vAlign w:val="top"/>
          </w:tcPr>
          <w:p>
            <w:pPr>
              <w:numPr>
                <w:ilvl w:val="0"/>
                <w:numId w:val="0"/>
              </w:numPr>
              <w:spacing w:line="360" w:lineRule="auto"/>
              <w:ind w:leftChars="0"/>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eastAsia="宋体"/>
                <w:lang w:val="en-US" w:eastAsia="zh-CN"/>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rPr>
            </w:pPr>
            <w:r>
              <w:rPr>
                <w:rFonts w:hint="eastAsia"/>
              </w:rPr>
              <w:t>4</w:t>
            </w:r>
          </w:p>
        </w:tc>
        <w:tc>
          <w:tcPr>
            <w:tcW w:w="2887" w:type="dxa"/>
            <w:noWrap w:val="0"/>
            <w:vAlign w:val="top"/>
          </w:tcPr>
          <w:p>
            <w:pPr>
              <w:spacing w:line="360" w:lineRule="auto"/>
              <w:rPr>
                <w:rFonts w:hint="eastAsia"/>
                <w:szCs w:val="21"/>
              </w:rPr>
            </w:pPr>
            <w:r>
              <w:rPr>
                <w:rFonts w:hint="eastAsia"/>
                <w:lang w:eastAsia="zh-CN"/>
              </w:rPr>
              <w:t>淮南四方机械有限公司</w:t>
            </w:r>
          </w:p>
        </w:tc>
        <w:tc>
          <w:tcPr>
            <w:tcW w:w="2791" w:type="dxa"/>
            <w:noWrap w:val="0"/>
            <w:vAlign w:val="top"/>
          </w:tcPr>
          <w:p>
            <w:pPr>
              <w:numPr>
                <w:ilvl w:val="0"/>
                <w:numId w:val="0"/>
              </w:numPr>
              <w:spacing w:line="360" w:lineRule="auto"/>
              <w:ind w:leftChars="0"/>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eastAsia="宋体"/>
                <w:lang w:val="en-US" w:eastAsia="zh-CN"/>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rPr>
            </w:pPr>
            <w:r>
              <w:rPr>
                <w:rFonts w:hint="eastAsia"/>
              </w:rPr>
              <w:t>5</w:t>
            </w:r>
          </w:p>
        </w:tc>
        <w:tc>
          <w:tcPr>
            <w:tcW w:w="2887" w:type="dxa"/>
            <w:noWrap w:val="0"/>
            <w:vAlign w:val="top"/>
          </w:tcPr>
          <w:p>
            <w:pPr>
              <w:spacing w:line="360" w:lineRule="auto"/>
              <w:rPr>
                <w:rFonts w:hint="eastAsia"/>
                <w:szCs w:val="21"/>
              </w:rPr>
            </w:pPr>
            <w:r>
              <w:rPr>
                <w:rFonts w:hint="eastAsia"/>
                <w:lang w:eastAsia="zh-CN"/>
              </w:rPr>
              <w:t>淄博保德科技有限公司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eastAsia="宋体"/>
                <w:lang w:eastAsia="zh-CN"/>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eastAsia="宋体"/>
                <w:lang w:val="en-US" w:eastAsia="zh-CN"/>
              </w:rPr>
            </w:pPr>
            <w:r>
              <w:rPr>
                <w:rFonts w:hint="eastAsia"/>
                <w:lang w:val="en-US" w:eastAsia="zh-CN"/>
              </w:rPr>
              <w:t>6</w:t>
            </w:r>
          </w:p>
        </w:tc>
        <w:tc>
          <w:tcPr>
            <w:tcW w:w="2887" w:type="dxa"/>
            <w:noWrap w:val="0"/>
            <w:vAlign w:val="top"/>
          </w:tcPr>
          <w:p>
            <w:pPr>
              <w:spacing w:line="360" w:lineRule="auto"/>
              <w:rPr>
                <w:rFonts w:hint="eastAsia" w:ascii="宋体" w:hAnsi="宋体"/>
                <w:szCs w:val="21"/>
              </w:rPr>
            </w:pPr>
            <w:r>
              <w:rPr>
                <w:rFonts w:hint="eastAsia"/>
                <w:lang w:eastAsia="zh-CN"/>
              </w:rPr>
              <w:t>湖州卓昌自动化科技公司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8" w:hRule="atLeast"/>
        </w:trPr>
        <w:tc>
          <w:tcPr>
            <w:tcW w:w="821" w:type="dxa"/>
            <w:noWrap w:val="0"/>
            <w:vAlign w:val="top"/>
          </w:tcPr>
          <w:p>
            <w:pPr>
              <w:spacing w:line="360" w:lineRule="auto"/>
              <w:rPr>
                <w:rFonts w:hint="eastAsia" w:eastAsia="宋体"/>
                <w:lang w:val="en-US" w:eastAsia="zh-CN"/>
              </w:rPr>
            </w:pPr>
            <w:r>
              <w:rPr>
                <w:rFonts w:hint="eastAsia"/>
                <w:lang w:val="en-US" w:eastAsia="zh-CN"/>
              </w:rPr>
              <w:t>7</w:t>
            </w:r>
          </w:p>
        </w:tc>
        <w:tc>
          <w:tcPr>
            <w:tcW w:w="2887" w:type="dxa"/>
            <w:noWrap w:val="0"/>
            <w:vAlign w:val="top"/>
          </w:tcPr>
          <w:p>
            <w:pPr>
              <w:spacing w:line="720" w:lineRule="auto"/>
              <w:rPr>
                <w:rFonts w:hint="eastAsia" w:ascii="宋体" w:hAnsi="宋体"/>
                <w:szCs w:val="21"/>
              </w:rPr>
            </w:pPr>
            <w:r>
              <w:rPr>
                <w:rFonts w:hint="eastAsia"/>
                <w:lang w:eastAsia="zh-CN"/>
              </w:rPr>
              <w:t>六安市新宇包装有限公司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8</w:t>
            </w:r>
          </w:p>
        </w:tc>
        <w:tc>
          <w:tcPr>
            <w:tcW w:w="2887" w:type="dxa"/>
            <w:noWrap w:val="0"/>
            <w:vAlign w:val="top"/>
          </w:tcPr>
          <w:p>
            <w:pPr>
              <w:spacing w:line="360" w:lineRule="auto"/>
              <w:rPr>
                <w:rFonts w:hint="eastAsia" w:ascii="宋体" w:hAnsi="宋体"/>
                <w:szCs w:val="21"/>
              </w:rPr>
            </w:pPr>
            <w:r>
              <w:rPr>
                <w:rFonts w:hint="eastAsia"/>
                <w:lang w:eastAsia="zh-CN"/>
              </w:rPr>
              <w:t>淮南市晨阳塑料有限公司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eastAsia="宋体"/>
                <w:lang w:val="en-US" w:eastAsia="zh-CN"/>
              </w:rPr>
            </w:pPr>
            <w:r>
              <w:rPr>
                <w:rFonts w:hint="eastAsia"/>
                <w:lang w:val="en-US" w:eastAsia="zh-CN"/>
              </w:rPr>
              <w:t>9</w:t>
            </w:r>
          </w:p>
        </w:tc>
        <w:tc>
          <w:tcPr>
            <w:tcW w:w="2887" w:type="dxa"/>
            <w:noWrap w:val="0"/>
            <w:vAlign w:val="top"/>
          </w:tcPr>
          <w:p>
            <w:pPr>
              <w:spacing w:line="360" w:lineRule="auto"/>
              <w:rPr>
                <w:rFonts w:hint="eastAsia" w:ascii="宋体" w:hAnsi="宋体"/>
                <w:szCs w:val="21"/>
              </w:rPr>
            </w:pPr>
            <w:r>
              <w:rPr>
                <w:rFonts w:hint="eastAsia"/>
                <w:lang w:eastAsia="zh-CN"/>
              </w:rPr>
              <w:t>蚌埠市顺兴彩印厂</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10</w:t>
            </w:r>
          </w:p>
        </w:tc>
        <w:tc>
          <w:tcPr>
            <w:tcW w:w="2887" w:type="dxa"/>
            <w:noWrap w:val="0"/>
            <w:vAlign w:val="top"/>
          </w:tcPr>
          <w:p>
            <w:pPr>
              <w:spacing w:line="360" w:lineRule="auto"/>
              <w:rPr>
                <w:rFonts w:hint="eastAsia"/>
              </w:rPr>
            </w:pPr>
            <w:r>
              <w:rPr>
                <w:rFonts w:hint="eastAsia"/>
                <w:lang w:eastAsia="zh-CN"/>
              </w:rPr>
              <w:t>凤阳县玉隆石英砂厂</w:t>
            </w:r>
          </w:p>
        </w:tc>
        <w:tc>
          <w:tcPr>
            <w:tcW w:w="2791" w:type="dxa"/>
            <w:noWrap w:val="0"/>
            <w:vAlign w:val="top"/>
          </w:tcPr>
          <w:p>
            <w:pPr>
              <w:numPr>
                <w:ilvl w:val="0"/>
                <w:numId w:val="0"/>
              </w:numPr>
              <w:spacing w:line="360" w:lineRule="auto"/>
              <w:ind w:leftChars="0"/>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11</w:t>
            </w:r>
          </w:p>
        </w:tc>
        <w:tc>
          <w:tcPr>
            <w:tcW w:w="2887" w:type="dxa"/>
            <w:noWrap w:val="0"/>
            <w:vAlign w:val="top"/>
          </w:tcPr>
          <w:p>
            <w:pPr>
              <w:spacing w:line="360" w:lineRule="auto"/>
              <w:rPr>
                <w:rFonts w:hint="eastAsia"/>
              </w:rPr>
            </w:pPr>
            <w:r>
              <w:rPr>
                <w:rFonts w:hint="eastAsia"/>
                <w:lang w:eastAsia="zh-CN"/>
              </w:rPr>
              <w:t>张家港港红释料有限公司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12</w:t>
            </w:r>
          </w:p>
        </w:tc>
        <w:tc>
          <w:tcPr>
            <w:tcW w:w="2887" w:type="dxa"/>
            <w:noWrap w:val="0"/>
            <w:vAlign w:val="top"/>
          </w:tcPr>
          <w:p>
            <w:pPr>
              <w:spacing w:line="360" w:lineRule="auto"/>
              <w:rPr>
                <w:rFonts w:hint="eastAsia"/>
              </w:rPr>
            </w:pPr>
            <w:r>
              <w:rPr>
                <w:rFonts w:hint="eastAsia"/>
                <w:lang w:eastAsia="zh-CN"/>
              </w:rPr>
              <w:t>中安联合煤化有限责任公司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13</w:t>
            </w:r>
          </w:p>
        </w:tc>
        <w:tc>
          <w:tcPr>
            <w:tcW w:w="2887" w:type="dxa"/>
            <w:noWrap w:val="0"/>
            <w:vAlign w:val="top"/>
          </w:tcPr>
          <w:p>
            <w:pPr>
              <w:spacing w:line="360" w:lineRule="auto"/>
              <w:rPr>
                <w:rFonts w:hint="eastAsia"/>
              </w:rPr>
            </w:pPr>
            <w:r>
              <w:rPr>
                <w:rFonts w:hint="eastAsia"/>
                <w:lang w:eastAsia="zh-CN"/>
              </w:rPr>
              <w:t>六安乙方包装有限公司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14</w:t>
            </w:r>
          </w:p>
        </w:tc>
        <w:tc>
          <w:tcPr>
            <w:tcW w:w="2887" w:type="dxa"/>
            <w:noWrap w:val="0"/>
            <w:vAlign w:val="top"/>
          </w:tcPr>
          <w:p>
            <w:pPr>
              <w:spacing w:line="360" w:lineRule="auto"/>
              <w:rPr>
                <w:rFonts w:hint="eastAsia"/>
                <w:lang w:eastAsia="zh-CN"/>
              </w:rPr>
            </w:pPr>
            <w:r>
              <w:rPr>
                <w:rFonts w:hint="eastAsia"/>
                <w:lang w:eastAsia="zh-CN"/>
              </w:rPr>
              <w:t>淄博圣跃窑炉材料有限公司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15</w:t>
            </w:r>
          </w:p>
        </w:tc>
        <w:tc>
          <w:tcPr>
            <w:tcW w:w="2887" w:type="dxa"/>
            <w:noWrap w:val="0"/>
            <w:vAlign w:val="top"/>
          </w:tcPr>
          <w:p>
            <w:pPr>
              <w:rPr>
                <w:rFonts w:hint="eastAsia"/>
                <w:lang w:eastAsia="zh-CN"/>
              </w:rPr>
            </w:pPr>
            <w:r>
              <w:rPr>
                <w:rFonts w:hint="eastAsia"/>
                <w:lang w:eastAsia="zh-CN"/>
              </w:rPr>
              <w:t>凤阳县佳利硅砂有限公司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default" w:eastAsia="宋体"/>
                <w:lang w:val="en-US" w:eastAsia="zh-CN"/>
              </w:rPr>
            </w:pPr>
            <w:r>
              <w:rPr>
                <w:rFonts w:hint="eastAsia"/>
                <w:lang w:val="en-US" w:eastAsia="zh-CN"/>
              </w:rPr>
              <w:t>16</w:t>
            </w:r>
          </w:p>
        </w:tc>
        <w:tc>
          <w:tcPr>
            <w:tcW w:w="2887" w:type="dxa"/>
            <w:noWrap w:val="0"/>
            <w:vAlign w:val="top"/>
          </w:tcPr>
          <w:p>
            <w:pPr>
              <w:spacing w:line="360" w:lineRule="auto"/>
              <w:rPr>
                <w:rFonts w:hint="eastAsia" w:eastAsia="宋体"/>
                <w:lang w:val="en-US" w:eastAsia="zh-CN"/>
              </w:rPr>
            </w:pPr>
            <w:r>
              <w:rPr>
                <w:rFonts w:hint="eastAsia"/>
                <w:lang w:val="en-US" w:eastAsia="zh-CN"/>
              </w:rPr>
              <w:t>德邦化工有限责任公司</w:t>
            </w:r>
          </w:p>
        </w:tc>
        <w:tc>
          <w:tcPr>
            <w:tcW w:w="2791" w:type="dxa"/>
            <w:noWrap w:val="0"/>
            <w:vAlign w:val="top"/>
          </w:tcPr>
          <w:p>
            <w:pPr>
              <w:spacing w:line="360" w:lineRule="auto"/>
              <w:rPr>
                <w:rFonts w:hint="eastAsia"/>
              </w:rPr>
            </w:pPr>
            <w:r>
              <w:rPr>
                <w:rFonts w:hint="eastAsia"/>
              </w:rPr>
              <w:t>运送</w:t>
            </w:r>
            <w:r>
              <w:rPr>
                <w:rFonts w:hint="eastAsia"/>
                <w:lang w:eastAsia="zh-CN"/>
              </w:rPr>
              <w:t>原料</w:t>
            </w:r>
            <w:r>
              <w:rPr>
                <w:rFonts w:hint="eastAsia"/>
              </w:rPr>
              <w:t>进厂区</w:t>
            </w:r>
            <w:r>
              <w:rPr>
                <w:rFonts w:hint="eastAsia"/>
                <w:lang w:eastAsia="zh-CN"/>
              </w:rPr>
              <w:t>车辆</w:t>
            </w:r>
            <w:r>
              <w:rPr>
                <w:rFonts w:hint="eastAsia"/>
              </w:rPr>
              <w:t>尘土</w:t>
            </w:r>
            <w:r>
              <w:rPr>
                <w:rFonts w:hint="eastAsia"/>
                <w:lang w:eastAsia="zh-CN"/>
              </w:rPr>
              <w:t>、噪声</w:t>
            </w:r>
            <w:r>
              <w:rPr>
                <w:rFonts w:hint="eastAsia"/>
              </w:rPr>
              <w:t>及汽车尾气。</w:t>
            </w:r>
          </w:p>
        </w:tc>
        <w:tc>
          <w:tcPr>
            <w:tcW w:w="1169" w:type="dxa"/>
            <w:noWrap w:val="0"/>
            <w:vAlign w:val="top"/>
          </w:tcPr>
          <w:p>
            <w:pPr>
              <w:spacing w:line="360" w:lineRule="auto"/>
              <w:rPr>
                <w:rFonts w:hint="eastAsia"/>
              </w:rPr>
            </w:pPr>
            <w:r>
              <w:rPr>
                <w:rFonts w:hint="eastAsia"/>
                <w:lang w:val="en-US" w:eastAsia="zh-CN"/>
              </w:rPr>
              <w:t>2019年3月</w:t>
            </w:r>
          </w:p>
        </w:tc>
        <w:tc>
          <w:tcPr>
            <w:tcW w:w="1416" w:type="dxa"/>
            <w:noWrap w:val="0"/>
            <w:vAlign w:val="top"/>
          </w:tcPr>
          <w:p>
            <w:pPr>
              <w:spacing w:line="360" w:lineRule="auto"/>
              <w:rPr>
                <w:rFonts w:hint="eastAsia"/>
              </w:rPr>
            </w:pPr>
            <w:r>
              <w:rPr>
                <w:rFonts w:hint="eastAsia"/>
                <w:lang w:eastAsia="zh-CN"/>
              </w:rPr>
              <w:t>微信发送</w:t>
            </w:r>
            <w:r>
              <w:rPr>
                <w:rFonts w:hint="eastAsia"/>
                <w:lang w:val="en-US" w:eastAsia="zh-CN"/>
              </w:rPr>
              <w:t>/微信回复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821" w:type="dxa"/>
            <w:noWrap w:val="0"/>
            <w:vAlign w:val="top"/>
          </w:tcPr>
          <w:p>
            <w:pPr>
              <w:spacing w:line="360" w:lineRule="auto"/>
              <w:rPr>
                <w:rFonts w:hint="eastAsia"/>
              </w:rPr>
            </w:pPr>
          </w:p>
        </w:tc>
        <w:tc>
          <w:tcPr>
            <w:tcW w:w="2887" w:type="dxa"/>
            <w:noWrap w:val="0"/>
            <w:vAlign w:val="top"/>
          </w:tcPr>
          <w:p>
            <w:pPr>
              <w:spacing w:line="360" w:lineRule="auto"/>
              <w:rPr>
                <w:rFonts w:hint="eastAsia"/>
                <w:lang w:eastAsia="zh-CN"/>
              </w:rPr>
            </w:pPr>
          </w:p>
        </w:tc>
        <w:tc>
          <w:tcPr>
            <w:tcW w:w="2791" w:type="dxa"/>
            <w:noWrap w:val="0"/>
            <w:vAlign w:val="top"/>
          </w:tcPr>
          <w:p>
            <w:pPr>
              <w:spacing w:line="360" w:lineRule="auto"/>
              <w:rPr>
                <w:rFonts w:hint="eastAsia"/>
              </w:rPr>
            </w:pPr>
          </w:p>
        </w:tc>
        <w:tc>
          <w:tcPr>
            <w:tcW w:w="1169" w:type="dxa"/>
            <w:noWrap w:val="0"/>
            <w:vAlign w:val="top"/>
          </w:tcPr>
          <w:p>
            <w:pPr>
              <w:spacing w:line="360" w:lineRule="auto"/>
              <w:rPr>
                <w:rFonts w:hint="eastAsia"/>
              </w:rPr>
            </w:pPr>
          </w:p>
        </w:tc>
        <w:tc>
          <w:tcPr>
            <w:tcW w:w="1416" w:type="dxa"/>
            <w:noWrap w:val="0"/>
            <w:vAlign w:val="top"/>
          </w:tcPr>
          <w:p>
            <w:pPr>
              <w:spacing w:line="360" w:lineRule="auto"/>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9084" w:type="dxa"/>
            <w:gridSpan w:val="5"/>
            <w:noWrap w:val="0"/>
            <w:vAlign w:val="top"/>
          </w:tcPr>
          <w:p>
            <w:pPr>
              <w:spacing w:line="360" w:lineRule="auto"/>
              <w:rPr>
                <w:rFonts w:hint="eastAsia"/>
              </w:rPr>
            </w:pPr>
            <w:r>
              <w:rPr>
                <w:rFonts w:hint="eastAsia"/>
              </w:rPr>
              <w:t xml:space="preserve">编制/日期 </w:t>
            </w:r>
            <w:r>
              <w:rPr>
                <w:rFonts w:hint="eastAsia"/>
                <w:lang w:eastAsia="zh-CN"/>
              </w:rPr>
              <w:t>：王阳山</w:t>
            </w:r>
            <w:r>
              <w:rPr>
                <w:rFonts w:hint="eastAsia"/>
                <w:lang w:val="en-US" w:eastAsia="zh-CN"/>
              </w:rPr>
              <w:t>/2019年3月3日</w:t>
            </w:r>
            <w:r>
              <w:rPr>
                <w:rFonts w:hint="eastAsia"/>
              </w:rPr>
              <w:t xml:space="preserve">            批准/日期：</w:t>
            </w:r>
            <w:r>
              <w:rPr>
                <w:rFonts w:hint="eastAsia"/>
                <w:lang w:eastAsia="zh-CN"/>
              </w:rPr>
              <w:t>刘星耀</w:t>
            </w:r>
            <w:r>
              <w:rPr>
                <w:rFonts w:hint="eastAsia"/>
                <w:lang w:val="en-US" w:eastAsia="zh-CN"/>
              </w:rPr>
              <w:t>/2019年3月10日</w:t>
            </w:r>
            <w:r>
              <w:rPr>
                <w:rFonts w:hint="eastAsia"/>
              </w:rPr>
              <w:t xml:space="preserve"> </w:t>
            </w:r>
          </w:p>
        </w:tc>
      </w:tr>
    </w:tbl>
    <w:p>
      <w:pPr>
        <w:spacing w:line="360" w:lineRule="auto"/>
        <w:rPr>
          <w:rFonts w:hint="eastAsia"/>
        </w:rPr>
      </w:pPr>
    </w:p>
    <w:p>
      <w:pPr>
        <w:pStyle w:val="6"/>
        <w:spacing w:before="11"/>
        <w:rPr>
          <w:rFonts w:ascii="仿宋"/>
          <w:b/>
          <w:sz w:val="23"/>
        </w:rPr>
      </w:pPr>
    </w:p>
    <w:p>
      <w:pPr>
        <w:pStyle w:val="4"/>
        <w:numPr>
          <w:ilvl w:val="2"/>
          <w:numId w:val="4"/>
        </w:numPr>
        <w:tabs>
          <w:tab w:val="left" w:pos="1167"/>
        </w:tabs>
        <w:spacing w:before="125" w:after="0" w:line="240" w:lineRule="auto"/>
        <w:ind w:left="1166" w:right="0" w:hanging="629"/>
        <w:jc w:val="left"/>
      </w:pPr>
      <w:r>
        <w:t>公众对企业环境信息公开的评价</w:t>
      </w:r>
    </w:p>
    <w:p>
      <w:pPr>
        <w:pStyle w:val="6"/>
        <w:spacing w:before="8"/>
        <w:rPr>
          <w:rFonts w:ascii="仿宋"/>
          <w:b/>
          <w:sz w:val="23"/>
        </w:rPr>
      </w:pPr>
    </w:p>
    <w:p>
      <w:pPr>
        <w:pStyle w:val="6"/>
        <w:spacing w:line="364" w:lineRule="auto"/>
        <w:ind w:left="537" w:right="236" w:firstLine="480"/>
      </w:pPr>
      <w:r>
        <w:rPr>
          <w:spacing w:val="-8"/>
        </w:rPr>
        <w:t>公司暂未设专门的“公众对企业环境信息公开的评价”的收集机制，所以暂</w:t>
      </w:r>
      <w:r>
        <w:t>时没有这类评价。</w:t>
      </w:r>
    </w:p>
    <w:p>
      <w:pPr>
        <w:pStyle w:val="3"/>
        <w:numPr>
          <w:ilvl w:val="1"/>
          <w:numId w:val="4"/>
        </w:numPr>
        <w:tabs>
          <w:tab w:val="left" w:pos="1018"/>
        </w:tabs>
        <w:spacing w:before="51" w:after="0" w:line="240" w:lineRule="auto"/>
        <w:ind w:left="1017" w:right="0" w:hanging="480"/>
        <w:jc w:val="left"/>
      </w:pPr>
      <w:r>
        <w:t>相关法律法规执行情况</w:t>
      </w:r>
    </w:p>
    <w:p>
      <w:pPr>
        <w:pStyle w:val="6"/>
        <w:spacing w:before="10"/>
        <w:rPr>
          <w:rFonts w:ascii="黑体"/>
          <w:b/>
          <w:sz w:val="25"/>
        </w:rPr>
      </w:pPr>
    </w:p>
    <w:p>
      <w:pPr>
        <w:pStyle w:val="4"/>
        <w:numPr>
          <w:ilvl w:val="2"/>
          <w:numId w:val="4"/>
        </w:numPr>
        <w:tabs>
          <w:tab w:val="left" w:pos="1167"/>
        </w:tabs>
        <w:spacing w:before="0" w:after="0" w:line="240" w:lineRule="auto"/>
        <w:ind w:left="1166" w:right="0" w:hanging="629"/>
        <w:jc w:val="left"/>
      </w:pPr>
      <w:r>
        <w:rPr>
          <w:spacing w:val="-38"/>
        </w:rPr>
        <w:t xml:space="preserve">近 </w:t>
      </w:r>
      <w:r>
        <w:rPr>
          <w:rFonts w:ascii="Times New Roman" w:eastAsia="Times New Roman"/>
        </w:rPr>
        <w:t>3</w:t>
      </w:r>
      <w:r>
        <w:rPr>
          <w:rFonts w:ascii="Times New Roman" w:eastAsia="Times New Roman"/>
          <w:spacing w:val="-2"/>
        </w:rPr>
        <w:t xml:space="preserve"> </w:t>
      </w:r>
      <w:r>
        <w:t>年生产经营发生重大污染事故及存在的环境违法行为情况</w:t>
      </w:r>
    </w:p>
    <w:p>
      <w:pPr>
        <w:pStyle w:val="6"/>
        <w:spacing w:before="11"/>
        <w:rPr>
          <w:rFonts w:ascii="仿宋"/>
          <w:b/>
          <w:sz w:val="23"/>
        </w:rPr>
      </w:pPr>
    </w:p>
    <w:p>
      <w:pPr>
        <w:pStyle w:val="6"/>
        <w:spacing w:before="158" w:line="364" w:lineRule="auto"/>
        <w:ind w:left="537" w:right="236" w:firstLine="480"/>
        <w:jc w:val="both"/>
        <w:rPr>
          <w:rFonts w:hint="default" w:eastAsia="宋体"/>
          <w:lang w:val="en-US" w:eastAsia="zh-CN"/>
        </w:rPr>
      </w:pPr>
      <w:r>
        <w:t xml:space="preserve">公司 </w:t>
      </w:r>
      <w:r>
        <w:rPr>
          <w:rFonts w:ascii="Times New Roman" w:eastAsia="Times New Roman"/>
        </w:rPr>
        <w:t>201</w:t>
      </w:r>
      <w:r>
        <w:rPr>
          <w:rFonts w:hint="eastAsia" w:ascii="Times New Roman"/>
          <w:lang w:val="en-US" w:eastAsia="zh-CN"/>
        </w:rPr>
        <w:t>8</w:t>
      </w:r>
      <w:r>
        <w:rPr>
          <w:rFonts w:ascii="Times New Roman" w:eastAsia="Times New Roman"/>
        </w:rPr>
        <w:t xml:space="preserve"> </w:t>
      </w:r>
      <w:r>
        <w:t>年</w:t>
      </w:r>
      <w:r>
        <w:rPr>
          <w:rFonts w:hint="eastAsia"/>
          <w:lang w:val="en-US" w:eastAsia="zh-CN"/>
        </w:rPr>
        <w:t>3月</w:t>
      </w:r>
      <w:r>
        <w:t>存在</w:t>
      </w:r>
      <w:r>
        <w:rPr>
          <w:rFonts w:hint="eastAsia"/>
          <w:lang w:val="en-US" w:eastAsia="zh-CN"/>
        </w:rPr>
        <w:t>1</w:t>
      </w:r>
      <w:r>
        <w:t>项环境违法行为，</w:t>
      </w:r>
      <w:r>
        <w:rPr>
          <w:rFonts w:hint="eastAsia"/>
          <w:lang w:eastAsia="zh-CN"/>
        </w:rPr>
        <w:t>在禁燃区内使用燃煤。接受处罚</w:t>
      </w:r>
      <w:r>
        <w:rPr>
          <w:rFonts w:hint="eastAsia"/>
          <w:lang w:val="en-US" w:eastAsia="zh-CN"/>
        </w:rPr>
        <w:t>10万元。</w:t>
      </w:r>
    </w:p>
    <w:p>
      <w:pPr>
        <w:pStyle w:val="4"/>
        <w:numPr>
          <w:ilvl w:val="2"/>
          <w:numId w:val="5"/>
        </w:numPr>
        <w:tabs>
          <w:tab w:val="left" w:pos="1167"/>
        </w:tabs>
        <w:spacing w:before="119" w:after="0" w:line="240" w:lineRule="auto"/>
        <w:ind w:left="1166" w:right="0" w:hanging="629"/>
        <w:jc w:val="left"/>
      </w:pPr>
      <w:r>
        <w:t>企业应对环境信访案件的处理措施与方式</w:t>
      </w:r>
    </w:p>
    <w:p>
      <w:pPr>
        <w:pStyle w:val="6"/>
        <w:spacing w:before="10"/>
        <w:rPr>
          <w:rFonts w:ascii="仿宋"/>
          <w:b/>
          <w:sz w:val="23"/>
        </w:rPr>
      </w:pPr>
    </w:p>
    <w:p>
      <w:pPr>
        <w:pStyle w:val="6"/>
        <w:spacing w:line="364" w:lineRule="auto"/>
        <w:ind w:left="520" w:right="236" w:firstLine="480"/>
        <w:jc w:val="both"/>
        <w:rPr>
          <w:rFonts w:hint="default" w:eastAsia="宋体"/>
          <w:lang w:val="en-US" w:eastAsia="zh-CN"/>
        </w:rPr>
      </w:pPr>
      <w:r>
        <w:rPr>
          <w:spacing w:val="-10"/>
        </w:rPr>
        <w:t>公司</w:t>
      </w:r>
      <w:r>
        <w:rPr>
          <w:rFonts w:hint="eastAsia"/>
          <w:spacing w:val="-10"/>
          <w:lang w:val="en-US" w:eastAsia="zh-CN"/>
        </w:rPr>
        <w:t>2018年 以来未发生环境信访案件。</w:t>
      </w:r>
    </w:p>
    <w:p>
      <w:pPr>
        <w:pStyle w:val="6"/>
        <w:spacing w:before="11"/>
        <w:rPr>
          <w:sz w:val="25"/>
        </w:rPr>
      </w:pPr>
    </w:p>
    <w:p>
      <w:pPr>
        <w:pStyle w:val="4"/>
        <w:numPr>
          <w:ilvl w:val="2"/>
          <w:numId w:val="5"/>
        </w:numPr>
        <w:tabs>
          <w:tab w:val="left" w:pos="1167"/>
        </w:tabs>
        <w:spacing w:before="0" w:after="0" w:line="240" w:lineRule="auto"/>
        <w:ind w:left="1166" w:right="0" w:hanging="629"/>
        <w:jc w:val="left"/>
      </w:pPr>
      <w:r>
        <w:t>环境检测及评价</w:t>
      </w:r>
    </w:p>
    <w:p>
      <w:pPr>
        <w:pStyle w:val="6"/>
        <w:spacing w:before="11"/>
        <w:rPr>
          <w:rFonts w:ascii="仿宋"/>
          <w:b/>
          <w:sz w:val="23"/>
        </w:rPr>
      </w:pPr>
    </w:p>
    <w:p>
      <w:pPr>
        <w:pStyle w:val="6"/>
        <w:spacing w:line="362" w:lineRule="auto"/>
        <w:ind w:left="537" w:right="236" w:firstLine="480"/>
        <w:jc w:val="both"/>
        <w:rPr>
          <w:rFonts w:hint="eastAsia" w:eastAsia="宋体"/>
          <w:lang w:eastAsia="zh-CN"/>
        </w:rPr>
      </w:pPr>
      <w:r>
        <w:rPr>
          <w:spacing w:val="-7"/>
        </w:rPr>
        <w:t>公司目前</w:t>
      </w:r>
      <w:r>
        <w:rPr>
          <w:rFonts w:hint="eastAsia"/>
          <w:spacing w:val="-7"/>
          <w:lang w:eastAsia="zh-CN"/>
        </w:rPr>
        <w:t>主要委托第三方机构开展监测。</w:t>
      </w:r>
    </w:p>
    <w:p>
      <w:pPr>
        <w:pStyle w:val="6"/>
        <w:spacing w:before="5"/>
        <w:ind w:left="1017"/>
      </w:pPr>
      <w:r>
        <w:t xml:space="preserve">根据 </w:t>
      </w:r>
      <w:r>
        <w:rPr>
          <w:rFonts w:ascii="Times New Roman" w:eastAsia="Times New Roman"/>
        </w:rPr>
        <w:t>201</w:t>
      </w:r>
      <w:r>
        <w:rPr>
          <w:rFonts w:hint="eastAsia" w:ascii="Times New Roman"/>
          <w:lang w:val="en-US" w:eastAsia="zh-CN"/>
        </w:rPr>
        <w:t>8</w:t>
      </w:r>
      <w:r>
        <w:rPr>
          <w:rFonts w:ascii="Times New Roman" w:eastAsia="Times New Roman"/>
        </w:rPr>
        <w:t xml:space="preserve"> </w:t>
      </w:r>
      <w:r>
        <w:t>年</w:t>
      </w:r>
      <w:r>
        <w:rPr>
          <w:rFonts w:hint="eastAsia"/>
          <w:lang w:eastAsia="zh-CN"/>
        </w:rPr>
        <w:t>以来</w:t>
      </w:r>
      <w:r>
        <w:t>监测结果表明，公司外排废水浓度达到《污水</w:t>
      </w:r>
    </w:p>
    <w:p>
      <w:pPr>
        <w:pStyle w:val="6"/>
        <w:spacing w:before="160" w:line="362" w:lineRule="auto"/>
        <w:ind w:left="537" w:right="266"/>
        <w:rPr>
          <w:rFonts w:ascii="Times New Roman" w:eastAsia="Times New Roman"/>
        </w:rPr>
      </w:pPr>
      <w:r>
        <w:t>综合排放标准》（</w:t>
      </w:r>
      <w:r>
        <w:rPr>
          <w:rFonts w:ascii="Times New Roman" w:eastAsia="Times New Roman"/>
        </w:rPr>
        <w:t>GB8978-1997</w:t>
      </w:r>
      <w:r>
        <w:t xml:space="preserve">）相关标准要求；根据 </w:t>
      </w:r>
      <w:r>
        <w:rPr>
          <w:rFonts w:ascii="Times New Roman" w:eastAsia="Times New Roman"/>
        </w:rPr>
        <w:t xml:space="preserve">2017 </w:t>
      </w:r>
      <w:r>
        <w:t>年第四季度公司自行监测数据，厂界噪声能达到《工业企业厂界环境噪声排放标准》（</w:t>
      </w:r>
      <w:r>
        <w:rPr>
          <w:rFonts w:ascii="Times New Roman" w:eastAsia="Times New Roman"/>
        </w:rPr>
        <w:t>GB12348</w:t>
      </w:r>
    </w:p>
    <w:p>
      <w:pPr>
        <w:pStyle w:val="6"/>
        <w:spacing w:before="5"/>
        <w:ind w:left="537"/>
      </w:pPr>
      <w:r>
        <w:rPr>
          <w:rFonts w:ascii="Times New Roman" w:eastAsia="Times New Roman"/>
        </w:rPr>
        <w:t>-2008</w:t>
      </w:r>
      <w:r>
        <w:t xml:space="preserve">）的 </w:t>
      </w:r>
      <w:r>
        <w:rPr>
          <w:rFonts w:ascii="Times New Roman" w:eastAsia="Times New Roman"/>
        </w:rPr>
        <w:t xml:space="preserve">3 </w:t>
      </w:r>
      <w:r>
        <w:t>类标准的限值要求。</w:t>
      </w:r>
    </w:p>
    <w:p>
      <w:pPr>
        <w:pStyle w:val="6"/>
        <w:spacing w:before="10"/>
        <w:rPr>
          <w:sz w:val="21"/>
        </w:rPr>
      </w:pPr>
    </w:p>
    <w:p>
      <w:pPr>
        <w:pStyle w:val="4"/>
        <w:numPr>
          <w:ilvl w:val="2"/>
          <w:numId w:val="5"/>
        </w:numPr>
        <w:tabs>
          <w:tab w:val="left" w:pos="1167"/>
        </w:tabs>
        <w:spacing w:before="0" w:after="0" w:line="240" w:lineRule="auto"/>
        <w:ind w:left="1166" w:right="0" w:hanging="629"/>
        <w:jc w:val="left"/>
      </w:pPr>
      <w:r>
        <w:t>环境突发事件的应急处理措施及应急预案</w:t>
      </w:r>
    </w:p>
    <w:p>
      <w:pPr>
        <w:pStyle w:val="6"/>
        <w:spacing w:before="11"/>
        <w:rPr>
          <w:rFonts w:ascii="仿宋"/>
          <w:b/>
          <w:sz w:val="23"/>
        </w:rPr>
      </w:pPr>
    </w:p>
    <w:p>
      <w:pPr>
        <w:pStyle w:val="6"/>
        <w:spacing w:line="364" w:lineRule="auto"/>
        <w:ind w:left="537" w:right="236" w:firstLine="480"/>
        <w:jc w:val="both"/>
      </w:pPr>
      <w:r>
        <w:rPr>
          <w:spacing w:val="-4"/>
        </w:rPr>
        <w:t>公司生产过程中使用到的原辅材料中涉及的环境风险物质主要包括</w:t>
      </w:r>
      <w:r>
        <w:rPr>
          <w:rFonts w:hint="eastAsia"/>
          <w:spacing w:val="-4"/>
          <w:lang w:eastAsia="zh-CN"/>
        </w:rPr>
        <w:t>石英砂、春节间、</w:t>
      </w:r>
      <w:r>
        <w:rPr>
          <w:spacing w:val="-11"/>
        </w:rPr>
        <w:t>氢氧化钠、天然气、液氧等，涉及的环境风险源主要包括</w:t>
      </w:r>
      <w:r>
        <w:rPr>
          <w:rFonts w:hint="eastAsia"/>
          <w:spacing w:val="-11"/>
          <w:lang w:eastAsia="zh-CN"/>
        </w:rPr>
        <w:t>石英砂纯碱储存场所</w:t>
      </w:r>
      <w:r>
        <w:rPr>
          <w:spacing w:val="-10"/>
        </w:rPr>
        <w:t>和天然气管道等。为了确保环境安全，保</w:t>
      </w:r>
      <w:r>
        <w:t>障企业员工和周边居民安全和健康，依据《突发环境事件应急预案管理暂行办</w:t>
      </w:r>
    </w:p>
    <w:p>
      <w:pPr>
        <w:spacing w:after="0" w:line="364" w:lineRule="auto"/>
        <w:jc w:val="both"/>
        <w:sectPr>
          <w:footerReference r:id="rId6" w:type="default"/>
          <w:pgSz w:w="11910" w:h="16840"/>
          <w:pgMar w:top="1360" w:right="1560" w:bottom="740" w:left="1260" w:header="878" w:footer="547" w:gutter="0"/>
          <w:pgNumType w:start="10"/>
        </w:sectPr>
      </w:pPr>
    </w:p>
    <w:p>
      <w:pPr>
        <w:pStyle w:val="6"/>
        <w:spacing w:before="64" w:line="364" w:lineRule="auto"/>
        <w:ind w:left="537" w:right="236"/>
      </w:pPr>
      <w:r>
        <w:rPr>
          <w:spacing w:val="-10"/>
        </w:rPr>
        <w:t>法》、《企业事业单位突发环境事件应急预案备案管理办法》、《企业突发环境</w:t>
      </w:r>
      <w:r>
        <w:rPr>
          <w:spacing w:val="-3"/>
        </w:rPr>
        <w:t>事件风险评估指南》等文件的要求，</w:t>
      </w:r>
      <w:r>
        <w:rPr>
          <w:spacing w:val="-6"/>
        </w:rPr>
        <w:t>并邀请专家对应急预案进行评审，根</w:t>
      </w:r>
      <w:r>
        <w:t>据评审意见完成修改和完善后，报送</w:t>
      </w:r>
      <w:r>
        <w:rPr>
          <w:rFonts w:hint="eastAsia"/>
          <w:lang w:eastAsia="zh-CN"/>
        </w:rPr>
        <w:t>区</w:t>
      </w:r>
      <w:r>
        <w:t>环保局备案。</w:t>
      </w:r>
    </w:p>
    <w:p>
      <w:pPr>
        <w:pStyle w:val="4"/>
        <w:numPr>
          <w:ilvl w:val="2"/>
          <w:numId w:val="5"/>
        </w:numPr>
        <w:tabs>
          <w:tab w:val="left" w:pos="1167"/>
        </w:tabs>
        <w:spacing w:before="119" w:after="0" w:line="364" w:lineRule="auto"/>
        <w:ind w:left="537" w:right="329" w:firstLine="0"/>
        <w:jc w:val="left"/>
      </w:pPr>
      <w:r>
        <w:rPr>
          <w:spacing w:val="-1"/>
          <w:w w:val="95"/>
        </w:rPr>
        <w:t>企业改建项目环境影响评价审批和</w:t>
      </w:r>
      <w:r>
        <w:rPr>
          <w:rFonts w:ascii="Times New Roman" w:hAnsi="Times New Roman" w:eastAsia="Times New Roman"/>
          <w:w w:val="95"/>
        </w:rPr>
        <w:t>“</w:t>
      </w:r>
      <w:r>
        <w:rPr>
          <w:w w:val="95"/>
        </w:rPr>
        <w:t>三同时</w:t>
      </w:r>
      <w:r>
        <w:rPr>
          <w:rFonts w:ascii="Times New Roman" w:hAnsi="Times New Roman" w:eastAsia="Times New Roman"/>
          <w:w w:val="95"/>
        </w:rPr>
        <w:t>”</w:t>
      </w:r>
      <w:r>
        <w:rPr>
          <w:w w:val="95"/>
        </w:rPr>
        <w:t xml:space="preserve">制度 </w:t>
      </w:r>
      <w:r>
        <w:t>执行情况</w:t>
      </w:r>
    </w:p>
    <w:p>
      <w:pPr>
        <w:pStyle w:val="6"/>
        <w:spacing w:before="11"/>
        <w:rPr>
          <w:rFonts w:hint="eastAsia" w:eastAsia="宋体"/>
          <w:sz w:val="20"/>
          <w:lang w:eastAsia="zh-CN"/>
        </w:rPr>
      </w:pPr>
      <w:r>
        <w:rPr>
          <w:spacing w:val="-4"/>
        </w:rPr>
        <w:t>公司“</w:t>
      </w:r>
      <w:r>
        <w:rPr>
          <w:rFonts w:hint="eastAsia"/>
          <w:spacing w:val="-4"/>
          <w:lang w:eastAsia="zh-CN"/>
        </w:rPr>
        <w:t>利用天然气替代发生炉煤气改造项目</w:t>
      </w:r>
      <w:r>
        <w:rPr>
          <w:spacing w:val="-4"/>
        </w:rPr>
        <w:t>”</w:t>
      </w:r>
      <w:r>
        <w:rPr>
          <w:rFonts w:hint="eastAsia"/>
          <w:spacing w:val="-4"/>
          <w:lang w:eastAsia="zh-CN"/>
        </w:rPr>
        <w:t>三个阶段工程均严格按照改造项目三同时要求执行，目前一、三车间已完成改造任务，二车间正在改造中，预计年底完成。</w:t>
      </w:r>
    </w:p>
    <w:p>
      <w:pPr>
        <w:pStyle w:val="2"/>
        <w:ind w:left="1612" w:right="1313"/>
        <w:jc w:val="center"/>
      </w:pPr>
      <w:r>
        <w:t>四、环保目标</w:t>
      </w:r>
    </w:p>
    <w:p>
      <w:pPr>
        <w:pStyle w:val="6"/>
        <w:spacing w:before="5"/>
        <w:rPr>
          <w:b/>
          <w:sz w:val="41"/>
        </w:rPr>
      </w:pPr>
    </w:p>
    <w:p>
      <w:pPr>
        <w:pStyle w:val="3"/>
        <w:numPr>
          <w:ilvl w:val="1"/>
          <w:numId w:val="6"/>
        </w:numPr>
        <w:tabs>
          <w:tab w:val="left" w:pos="1018"/>
        </w:tabs>
        <w:spacing w:before="0" w:after="0" w:line="240" w:lineRule="auto"/>
        <w:ind w:left="1017" w:right="0" w:hanging="480"/>
        <w:jc w:val="both"/>
      </w:pPr>
      <w:r>
        <w:t>环保目标及完成情况</w:t>
      </w:r>
    </w:p>
    <w:p>
      <w:pPr>
        <w:pStyle w:val="6"/>
        <w:rPr>
          <w:rFonts w:ascii="黑体"/>
          <w:b/>
          <w:sz w:val="26"/>
        </w:rPr>
      </w:pPr>
    </w:p>
    <w:p>
      <w:pPr>
        <w:pStyle w:val="4"/>
        <w:numPr>
          <w:ilvl w:val="2"/>
          <w:numId w:val="6"/>
        </w:numPr>
        <w:tabs>
          <w:tab w:val="left" w:pos="1167"/>
        </w:tabs>
        <w:spacing w:before="0" w:after="0" w:line="240" w:lineRule="auto"/>
        <w:ind w:left="1166" w:right="0" w:hanging="629"/>
        <w:jc w:val="both"/>
      </w:pPr>
      <w:r>
        <w:t>公司近年相关环保工作</w:t>
      </w:r>
    </w:p>
    <w:p>
      <w:pPr>
        <w:pStyle w:val="6"/>
        <w:spacing w:before="11"/>
        <w:rPr>
          <w:rFonts w:ascii="仿宋"/>
          <w:b/>
          <w:sz w:val="23"/>
        </w:rPr>
      </w:pPr>
    </w:p>
    <w:p>
      <w:pPr>
        <w:pStyle w:val="6"/>
        <w:ind w:left="1017"/>
      </w:pPr>
      <w:r>
        <w:rPr>
          <w:rFonts w:ascii="Times New Roman" w:eastAsia="Times New Roman"/>
        </w:rPr>
        <w:t>1</w:t>
      </w:r>
      <w:r>
        <w:t>、加强环保工作日常管理，实现达标排放</w:t>
      </w:r>
    </w:p>
    <w:p>
      <w:pPr>
        <w:pStyle w:val="6"/>
        <w:spacing w:before="160" w:line="364" w:lineRule="auto"/>
        <w:ind w:left="537" w:right="116" w:firstLine="480"/>
      </w:pPr>
      <w:r>
        <w:t xml:space="preserve">公司领导始终把环境保护作为企业的重要工作，以推进蓝天碧水工程为抓 </w:t>
      </w:r>
      <w:r>
        <w:rPr>
          <w:spacing w:val="-9"/>
        </w:rPr>
        <w:t>手，不断完善净化工艺，制定突发环境事件应急预案，并进行相关演练，切实落</w:t>
      </w:r>
      <w:r>
        <w:rPr>
          <w:spacing w:val="-19"/>
        </w:rPr>
        <w:t xml:space="preserve">实目标责任，把环保考核结果作为评价各单位、部门和干部任用的一项重要内容， </w:t>
      </w:r>
      <w:r>
        <w:rPr>
          <w:spacing w:val="-5"/>
        </w:rPr>
        <w:t>做到每一项指标都有责任部门，每一项任务都落实到具体单位，一级抓一级，层层落实，并严格兑现奖惩，安全环境部负责监督检查全公司的环保工作的开展。</w:t>
      </w:r>
      <w:r>
        <w:rPr>
          <w:spacing w:val="-10"/>
        </w:rPr>
        <w:t>公司还安排了专</w:t>
      </w:r>
      <w:r>
        <w:rPr>
          <w:rFonts w:hint="eastAsia"/>
          <w:spacing w:val="-10"/>
          <w:lang w:eastAsia="zh-CN"/>
        </w:rPr>
        <w:t>兼</w:t>
      </w:r>
      <w:r>
        <w:rPr>
          <w:spacing w:val="-10"/>
        </w:rPr>
        <w:t>职环保人员负责收集、整理环境保护的相关资料，建立健全环境</w:t>
      </w:r>
      <w:r>
        <w:rPr>
          <w:spacing w:val="-12"/>
        </w:rPr>
        <w:t>保护工作档案。公司内部定期对排放的污染物进行监测，发现问题及时汇报，落实整改，真正做到防患于未然。</w:t>
      </w:r>
    </w:p>
    <w:p>
      <w:pPr>
        <w:pStyle w:val="6"/>
        <w:spacing w:line="307" w:lineRule="exact"/>
        <w:ind w:left="1017"/>
      </w:pPr>
      <w:r>
        <w:rPr>
          <w:rFonts w:ascii="Times New Roman" w:eastAsia="Times New Roman"/>
        </w:rPr>
        <w:t>2</w:t>
      </w:r>
      <w:r>
        <w:t>、积极推进清洁生产工作</w:t>
      </w:r>
    </w:p>
    <w:p>
      <w:pPr>
        <w:pStyle w:val="6"/>
        <w:spacing w:before="158" w:line="364" w:lineRule="auto"/>
        <w:ind w:left="537" w:right="267"/>
      </w:pPr>
      <w:r>
        <w:t>公司</w:t>
      </w:r>
      <w:r>
        <w:rPr>
          <w:rFonts w:hint="eastAsia"/>
          <w:lang w:val="en-US" w:eastAsia="zh-CN"/>
        </w:rPr>
        <w:t>2018年</w:t>
      </w:r>
      <w:r>
        <w:t>积极推进清洁生产工作，</w:t>
      </w:r>
      <w:r>
        <w:rPr>
          <w:rFonts w:hint="eastAsia"/>
          <w:lang w:eastAsia="zh-CN"/>
        </w:rPr>
        <w:t>且通过评审</w:t>
      </w:r>
      <w:r>
        <w:t>。</w:t>
      </w:r>
    </w:p>
    <w:p>
      <w:pPr>
        <w:pStyle w:val="6"/>
        <w:spacing w:line="364" w:lineRule="auto"/>
        <w:ind w:left="537" w:right="327" w:firstLine="480"/>
      </w:pPr>
    </w:p>
    <w:p>
      <w:pPr>
        <w:pStyle w:val="4"/>
        <w:numPr>
          <w:ilvl w:val="2"/>
          <w:numId w:val="6"/>
        </w:numPr>
        <w:tabs>
          <w:tab w:val="left" w:pos="1167"/>
        </w:tabs>
        <w:spacing w:before="118" w:after="0" w:line="240" w:lineRule="auto"/>
        <w:ind w:left="1166" w:right="0" w:hanging="629"/>
        <w:jc w:val="both"/>
      </w:pPr>
      <w:r>
        <w:rPr>
          <w:spacing w:val="-24"/>
        </w:rPr>
        <w:t xml:space="preserve">公司 </w:t>
      </w:r>
      <w:r>
        <w:rPr>
          <w:rFonts w:ascii="Times New Roman" w:eastAsia="Times New Roman"/>
        </w:rPr>
        <w:t>2017</w:t>
      </w:r>
      <w:r>
        <w:rPr>
          <w:rFonts w:ascii="Times New Roman" w:eastAsia="Times New Roman"/>
          <w:spacing w:val="-2"/>
        </w:rPr>
        <w:t xml:space="preserve"> </w:t>
      </w:r>
      <w:r>
        <w:t>年环境绩效情况</w:t>
      </w:r>
    </w:p>
    <w:p>
      <w:pPr>
        <w:pStyle w:val="6"/>
        <w:spacing w:before="11"/>
        <w:rPr>
          <w:rFonts w:ascii="仿宋"/>
          <w:b/>
          <w:sz w:val="23"/>
        </w:rPr>
      </w:pPr>
    </w:p>
    <w:p>
      <w:pPr>
        <w:pStyle w:val="6"/>
        <w:ind w:left="1017"/>
      </w:pPr>
      <w:r>
        <w:t xml:space="preserve">公司 </w:t>
      </w:r>
      <w:r>
        <w:rPr>
          <w:rFonts w:ascii="Times New Roman" w:eastAsia="Times New Roman"/>
        </w:rPr>
        <w:t>201</w:t>
      </w:r>
      <w:r>
        <w:rPr>
          <w:rFonts w:hint="eastAsia" w:ascii="Times New Roman"/>
          <w:lang w:val="en-US" w:eastAsia="zh-CN"/>
        </w:rPr>
        <w:t>8</w:t>
      </w:r>
      <w:r>
        <w:rPr>
          <w:rFonts w:ascii="Times New Roman" w:eastAsia="Times New Roman"/>
        </w:rPr>
        <w:t xml:space="preserve"> </w:t>
      </w:r>
      <w:r>
        <w:t xml:space="preserve">年环境绩效具体情况见表 </w:t>
      </w:r>
      <w:r>
        <w:rPr>
          <w:rFonts w:ascii="Times New Roman" w:eastAsia="Times New Roman"/>
        </w:rPr>
        <w:t>4-1</w:t>
      </w:r>
      <w:r>
        <w:t>。</w:t>
      </w:r>
    </w:p>
    <w:p>
      <w:pPr>
        <w:spacing w:after="0"/>
        <w:sectPr>
          <w:pgSz w:w="11910" w:h="16840"/>
          <w:pgMar w:top="1360" w:right="1560" w:bottom="740" w:left="1260" w:header="878" w:footer="547" w:gutter="0"/>
        </w:sectPr>
      </w:pPr>
    </w:p>
    <w:p>
      <w:pPr>
        <w:pStyle w:val="6"/>
        <w:spacing w:before="3"/>
        <w:rPr>
          <w:sz w:val="8"/>
        </w:rPr>
      </w:pPr>
    </w:p>
    <w:p>
      <w:pPr>
        <w:tabs>
          <w:tab w:val="left" w:pos="1156"/>
        </w:tabs>
        <w:spacing w:before="77"/>
        <w:ind w:left="299" w:right="0" w:firstLine="0"/>
        <w:jc w:val="center"/>
        <w:rPr>
          <w:rFonts w:hint="eastAsia" w:ascii="仿宋" w:eastAsia="仿宋"/>
          <w:sz w:val="21"/>
        </w:rPr>
      </w:pPr>
      <w:r>
        <w:rPr>
          <w:rFonts w:hint="eastAsia" w:ascii="仿宋" w:eastAsia="仿宋"/>
          <w:sz w:val="21"/>
        </w:rPr>
        <w:t>表</w:t>
      </w:r>
      <w:r>
        <w:rPr>
          <w:rFonts w:hint="eastAsia" w:ascii="仿宋" w:eastAsia="仿宋"/>
          <w:spacing w:val="-55"/>
          <w:sz w:val="21"/>
        </w:rPr>
        <w:t xml:space="preserve"> </w:t>
      </w:r>
      <w:r>
        <w:rPr>
          <w:rFonts w:ascii="Times New Roman" w:eastAsia="Times New Roman"/>
          <w:sz w:val="21"/>
        </w:rPr>
        <w:t>4-1</w:t>
      </w:r>
      <w:r>
        <w:rPr>
          <w:rFonts w:ascii="Times New Roman" w:eastAsia="Times New Roman"/>
          <w:sz w:val="21"/>
        </w:rPr>
        <w:tab/>
      </w:r>
      <w:r>
        <w:rPr>
          <w:rFonts w:hint="eastAsia" w:ascii="仿宋" w:eastAsia="仿宋"/>
          <w:sz w:val="21"/>
        </w:rPr>
        <w:t>公司</w:t>
      </w:r>
      <w:r>
        <w:rPr>
          <w:rFonts w:hint="eastAsia" w:ascii="仿宋" w:eastAsia="仿宋"/>
          <w:spacing w:val="-53"/>
          <w:sz w:val="21"/>
        </w:rPr>
        <w:t xml:space="preserve"> </w:t>
      </w:r>
      <w:r>
        <w:rPr>
          <w:rFonts w:ascii="Times New Roman" w:eastAsia="Times New Roman"/>
          <w:sz w:val="21"/>
        </w:rPr>
        <w:t>2017</w:t>
      </w:r>
      <w:r>
        <w:rPr>
          <w:rFonts w:hint="eastAsia" w:ascii="Times New Roman"/>
          <w:sz w:val="21"/>
          <w:lang w:val="en-US" w:eastAsia="zh-CN"/>
        </w:rPr>
        <w:t>8</w:t>
      </w:r>
      <w:r>
        <w:rPr>
          <w:rFonts w:hint="eastAsia" w:ascii="仿宋" w:eastAsia="仿宋"/>
          <w:sz w:val="21"/>
        </w:rPr>
        <w:t>年环境绩效</w:t>
      </w:r>
    </w:p>
    <w:p>
      <w:pPr>
        <w:pStyle w:val="6"/>
        <w:spacing w:before="8"/>
        <w:rPr>
          <w:rFonts w:ascii="仿宋"/>
          <w:sz w:val="9"/>
        </w:rPr>
      </w:pPr>
    </w:p>
    <w:tbl>
      <w:tblPr>
        <w:tblStyle w:val="7"/>
        <w:tblW w:w="8448" w:type="dxa"/>
        <w:tblInd w:w="2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4150"/>
        <w:gridCol w:w="2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7" w:hRule="atLeast"/>
        </w:trPr>
        <w:tc>
          <w:tcPr>
            <w:tcW w:w="1988" w:type="dxa"/>
          </w:tcPr>
          <w:p>
            <w:pPr>
              <w:pStyle w:val="11"/>
              <w:spacing w:before="4"/>
              <w:jc w:val="left"/>
              <w:rPr>
                <w:sz w:val="19"/>
              </w:rPr>
            </w:pPr>
          </w:p>
          <w:p>
            <w:pPr>
              <w:pStyle w:val="11"/>
              <w:spacing w:before="1"/>
              <w:ind w:left="760" w:right="758"/>
              <w:rPr>
                <w:sz w:val="21"/>
              </w:rPr>
            </w:pPr>
            <w:r>
              <w:rPr>
                <w:sz w:val="21"/>
              </w:rPr>
              <w:t>项目</w:t>
            </w:r>
          </w:p>
        </w:tc>
        <w:tc>
          <w:tcPr>
            <w:tcW w:w="4150" w:type="dxa"/>
          </w:tcPr>
          <w:p>
            <w:pPr>
              <w:pStyle w:val="11"/>
              <w:spacing w:before="4"/>
              <w:jc w:val="left"/>
              <w:rPr>
                <w:sz w:val="19"/>
              </w:rPr>
            </w:pPr>
          </w:p>
          <w:p>
            <w:pPr>
              <w:pStyle w:val="11"/>
              <w:spacing w:before="1"/>
              <w:ind w:left="226" w:right="222"/>
              <w:rPr>
                <w:sz w:val="21"/>
              </w:rPr>
            </w:pPr>
            <w:r>
              <w:rPr>
                <w:sz w:val="21"/>
              </w:rPr>
              <w:t>指标</w:t>
            </w:r>
          </w:p>
        </w:tc>
        <w:tc>
          <w:tcPr>
            <w:tcW w:w="2310" w:type="dxa"/>
          </w:tcPr>
          <w:p>
            <w:pPr>
              <w:pStyle w:val="11"/>
              <w:spacing w:before="4"/>
              <w:jc w:val="left"/>
              <w:rPr>
                <w:sz w:val="19"/>
              </w:rPr>
            </w:pPr>
          </w:p>
          <w:p>
            <w:pPr>
              <w:pStyle w:val="11"/>
              <w:spacing w:before="1"/>
              <w:ind w:left="241" w:right="236"/>
              <w:rPr>
                <w:sz w:val="21"/>
              </w:rPr>
            </w:pPr>
            <w:r>
              <w:rPr>
                <w:rFonts w:ascii="Times New Roman" w:eastAsia="Times New Roman"/>
                <w:sz w:val="21"/>
              </w:rPr>
              <w:t>201</w:t>
            </w:r>
            <w:r>
              <w:rPr>
                <w:rFonts w:hint="eastAsia" w:ascii="Times New Roman" w:eastAsia="宋体"/>
                <w:sz w:val="21"/>
                <w:lang w:val="en-US" w:eastAsia="zh-CN"/>
              </w:rPr>
              <w:t>8</w:t>
            </w:r>
            <w:r>
              <w:rPr>
                <w:rFonts w:ascii="Times New Roman" w:eastAsia="Times New Roman"/>
                <w:sz w:val="21"/>
              </w:rPr>
              <w:t xml:space="preserve"> </w:t>
            </w:r>
            <w:r>
              <w:rPr>
                <w:sz w:val="21"/>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69" w:hRule="atLeast"/>
        </w:trPr>
        <w:tc>
          <w:tcPr>
            <w:tcW w:w="1988" w:type="dxa"/>
            <w:vMerge w:val="restart"/>
          </w:tcPr>
          <w:p>
            <w:pPr>
              <w:pStyle w:val="11"/>
              <w:jc w:val="left"/>
              <w:rPr>
                <w:sz w:val="20"/>
              </w:rPr>
            </w:pPr>
          </w:p>
          <w:p>
            <w:pPr>
              <w:pStyle w:val="11"/>
              <w:jc w:val="left"/>
              <w:rPr>
                <w:sz w:val="20"/>
              </w:rPr>
            </w:pPr>
          </w:p>
          <w:p>
            <w:pPr>
              <w:pStyle w:val="11"/>
              <w:jc w:val="left"/>
              <w:rPr>
                <w:sz w:val="20"/>
              </w:rPr>
            </w:pPr>
          </w:p>
          <w:p>
            <w:pPr>
              <w:pStyle w:val="11"/>
              <w:spacing w:before="2"/>
              <w:jc w:val="left"/>
              <w:rPr>
                <w:sz w:val="23"/>
              </w:rPr>
            </w:pPr>
          </w:p>
          <w:p>
            <w:pPr>
              <w:pStyle w:val="11"/>
              <w:spacing w:before="1"/>
              <w:ind w:left="152"/>
              <w:jc w:val="left"/>
              <w:rPr>
                <w:sz w:val="21"/>
              </w:rPr>
            </w:pPr>
            <w:r>
              <w:rPr>
                <w:sz w:val="21"/>
              </w:rPr>
              <w:t>一、资源消耗指标</w:t>
            </w:r>
          </w:p>
        </w:tc>
        <w:tc>
          <w:tcPr>
            <w:tcW w:w="4150" w:type="dxa"/>
          </w:tcPr>
          <w:p>
            <w:pPr>
              <w:pStyle w:val="11"/>
              <w:spacing w:before="173"/>
              <w:ind w:left="228" w:right="222"/>
              <w:rPr>
                <w:sz w:val="21"/>
              </w:rPr>
            </w:pPr>
            <w:r>
              <w:rPr>
                <w:sz w:val="21"/>
              </w:rPr>
              <w:t>单位工业增加值电耗</w:t>
            </w:r>
          </w:p>
          <w:p>
            <w:pPr>
              <w:pStyle w:val="11"/>
              <w:spacing w:before="5"/>
              <w:ind w:left="228" w:right="222"/>
              <w:rPr>
                <w:sz w:val="21"/>
              </w:rPr>
            </w:pPr>
            <w:r>
              <w:rPr>
                <w:sz w:val="21"/>
              </w:rPr>
              <w:t>（</w:t>
            </w:r>
            <w:r>
              <w:rPr>
                <w:rFonts w:ascii="Times New Roman" w:hAnsi="Times New Roman" w:eastAsia="Times New Roman"/>
                <w:sz w:val="21"/>
              </w:rPr>
              <w:t>kW·h/</w:t>
            </w:r>
            <w:r>
              <w:rPr>
                <w:sz w:val="21"/>
              </w:rPr>
              <w:t>万元）</w:t>
            </w:r>
          </w:p>
        </w:tc>
        <w:tc>
          <w:tcPr>
            <w:tcW w:w="2310" w:type="dxa"/>
          </w:tcPr>
          <w:p>
            <w:pPr>
              <w:pStyle w:val="11"/>
              <w:spacing w:before="4"/>
              <w:jc w:val="left"/>
              <w:rPr>
                <w:sz w:val="25"/>
              </w:rPr>
            </w:pPr>
          </w:p>
          <w:p>
            <w:pPr>
              <w:pStyle w:val="11"/>
              <w:ind w:left="242" w:right="236"/>
              <w:rPr>
                <w:rFonts w:hint="default" w:ascii="Times New Roman" w:eastAsia="仿宋"/>
                <w:sz w:val="21"/>
                <w:lang w:val="en-US" w:eastAsia="zh-CN"/>
              </w:rPr>
            </w:pPr>
            <w:r>
              <w:rPr>
                <w:rFonts w:hint="eastAsia" w:ascii="Times New Roman"/>
                <w:sz w:val="21"/>
                <w:lang w:val="en-US" w:eastAsia="zh-CN"/>
              </w:rPr>
              <w:t>2877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7" w:hRule="atLeast"/>
        </w:trPr>
        <w:tc>
          <w:tcPr>
            <w:tcW w:w="1988" w:type="dxa"/>
            <w:vMerge w:val="continue"/>
            <w:tcBorders>
              <w:top w:val="nil"/>
            </w:tcBorders>
          </w:tcPr>
          <w:p>
            <w:pPr>
              <w:rPr>
                <w:sz w:val="2"/>
                <w:szCs w:val="2"/>
              </w:rPr>
            </w:pPr>
          </w:p>
        </w:tc>
        <w:tc>
          <w:tcPr>
            <w:tcW w:w="4150" w:type="dxa"/>
          </w:tcPr>
          <w:p>
            <w:pPr>
              <w:pStyle w:val="11"/>
              <w:spacing w:before="9"/>
              <w:jc w:val="left"/>
              <w:rPr>
                <w:sz w:val="14"/>
              </w:rPr>
            </w:pPr>
          </w:p>
          <w:p>
            <w:pPr>
              <w:pStyle w:val="11"/>
              <w:ind w:left="226" w:right="222"/>
              <w:rPr>
                <w:sz w:val="21"/>
              </w:rPr>
            </w:pPr>
            <w:r>
              <w:rPr>
                <w:sz w:val="21"/>
              </w:rPr>
              <w:t>单位单位工业增加值水耗</w:t>
            </w:r>
          </w:p>
          <w:p>
            <w:pPr>
              <w:pStyle w:val="11"/>
              <w:spacing w:before="2"/>
              <w:ind w:left="230" w:right="222"/>
              <w:rPr>
                <w:sz w:val="21"/>
              </w:rPr>
            </w:pPr>
            <w:r>
              <w:rPr>
                <w:sz w:val="21"/>
              </w:rPr>
              <w:t>（</w:t>
            </w:r>
            <w:r>
              <w:rPr>
                <w:rFonts w:ascii="Times New Roman" w:eastAsia="Times New Roman"/>
                <w:sz w:val="21"/>
              </w:rPr>
              <w:t>m</w:t>
            </w:r>
            <w:r>
              <w:rPr>
                <w:rFonts w:ascii="Times New Roman" w:eastAsia="Times New Roman"/>
                <w:position w:val="7"/>
                <w:sz w:val="13"/>
              </w:rPr>
              <w:t>3</w:t>
            </w:r>
            <w:r>
              <w:rPr>
                <w:rFonts w:ascii="Times New Roman" w:eastAsia="Times New Roman"/>
                <w:sz w:val="21"/>
              </w:rPr>
              <w:t>/</w:t>
            </w:r>
            <w:r>
              <w:rPr>
                <w:sz w:val="21"/>
              </w:rPr>
              <w:t>万元）</w:t>
            </w:r>
          </w:p>
        </w:tc>
        <w:tc>
          <w:tcPr>
            <w:tcW w:w="2310" w:type="dxa"/>
          </w:tcPr>
          <w:p>
            <w:pPr>
              <w:pStyle w:val="11"/>
              <w:spacing w:before="6"/>
              <w:jc w:val="left"/>
              <w:rPr>
                <w:sz w:val="26"/>
              </w:rPr>
            </w:pPr>
          </w:p>
          <w:p>
            <w:pPr>
              <w:pStyle w:val="11"/>
              <w:ind w:left="244" w:right="236"/>
              <w:rPr>
                <w:rFonts w:hint="default" w:ascii="Times New Roman" w:eastAsia="仿宋"/>
                <w:sz w:val="21"/>
                <w:lang w:val="en-US" w:eastAsia="zh-CN"/>
              </w:rPr>
            </w:pPr>
            <w:r>
              <w:rPr>
                <w:rFonts w:hint="eastAsia" w:ascii="Times New Roman"/>
                <w:sz w:val="21"/>
                <w:lang w:val="en-US" w:eastAsia="zh-CN"/>
              </w:rPr>
              <w:t>49.50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3" w:hRule="atLeast"/>
        </w:trPr>
        <w:tc>
          <w:tcPr>
            <w:tcW w:w="1988" w:type="dxa"/>
            <w:vMerge w:val="continue"/>
            <w:tcBorders>
              <w:top w:val="nil"/>
            </w:tcBorders>
          </w:tcPr>
          <w:p>
            <w:pPr>
              <w:rPr>
                <w:sz w:val="2"/>
                <w:szCs w:val="2"/>
              </w:rPr>
            </w:pPr>
          </w:p>
        </w:tc>
        <w:tc>
          <w:tcPr>
            <w:tcW w:w="4150" w:type="dxa"/>
          </w:tcPr>
          <w:p>
            <w:pPr>
              <w:pStyle w:val="11"/>
              <w:spacing w:before="2"/>
              <w:jc w:val="left"/>
              <w:rPr>
                <w:sz w:val="21"/>
              </w:rPr>
            </w:pPr>
          </w:p>
          <w:p>
            <w:pPr>
              <w:pStyle w:val="11"/>
              <w:ind w:left="230" w:right="222"/>
              <w:rPr>
                <w:sz w:val="21"/>
              </w:rPr>
            </w:pPr>
            <w:r>
              <w:rPr>
                <w:sz w:val="21"/>
              </w:rPr>
              <w:t>单位工业增加值天然气消耗（</w:t>
            </w:r>
            <w:r>
              <w:rPr>
                <w:rFonts w:ascii="Times New Roman" w:eastAsia="Times New Roman"/>
                <w:sz w:val="21"/>
              </w:rPr>
              <w:t>m</w:t>
            </w:r>
            <w:r>
              <w:rPr>
                <w:rFonts w:ascii="Times New Roman" w:eastAsia="Times New Roman"/>
                <w:position w:val="7"/>
                <w:sz w:val="13"/>
              </w:rPr>
              <w:t>3</w:t>
            </w:r>
            <w:r>
              <w:rPr>
                <w:rFonts w:ascii="Times New Roman" w:eastAsia="Times New Roman"/>
                <w:sz w:val="21"/>
              </w:rPr>
              <w:t>/</w:t>
            </w:r>
            <w:r>
              <w:rPr>
                <w:sz w:val="21"/>
              </w:rPr>
              <w:t>万元）</w:t>
            </w:r>
          </w:p>
        </w:tc>
        <w:tc>
          <w:tcPr>
            <w:tcW w:w="2310" w:type="dxa"/>
          </w:tcPr>
          <w:p>
            <w:pPr>
              <w:pStyle w:val="11"/>
              <w:spacing w:before="5"/>
              <w:jc w:val="left"/>
              <w:rPr>
                <w:sz w:val="22"/>
              </w:rPr>
            </w:pPr>
          </w:p>
          <w:p>
            <w:pPr>
              <w:pStyle w:val="11"/>
              <w:spacing w:before="1"/>
              <w:ind w:left="244" w:right="236"/>
              <w:rPr>
                <w:rFonts w:hint="default" w:ascii="Times New Roman" w:eastAsia="仿宋"/>
                <w:sz w:val="21"/>
                <w:lang w:val="en-US" w:eastAsia="zh-CN"/>
              </w:rPr>
            </w:pPr>
            <w:r>
              <w:rPr>
                <w:rFonts w:hint="eastAsia" w:ascii="Times New Roman"/>
                <w:sz w:val="21"/>
                <w:lang w:val="en-US" w:eastAsia="zh-CN"/>
              </w:rPr>
              <w:t>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988" w:type="dxa"/>
            <w:vMerge w:val="restart"/>
          </w:tcPr>
          <w:p>
            <w:pPr>
              <w:pStyle w:val="11"/>
              <w:jc w:val="left"/>
              <w:rPr>
                <w:sz w:val="20"/>
              </w:rPr>
            </w:pPr>
          </w:p>
          <w:p>
            <w:pPr>
              <w:pStyle w:val="11"/>
              <w:spacing w:before="160" w:line="242" w:lineRule="auto"/>
              <w:ind w:left="572" w:right="356" w:hanging="212"/>
              <w:jc w:val="left"/>
              <w:rPr>
                <w:sz w:val="21"/>
              </w:rPr>
            </w:pPr>
            <w:r>
              <w:rPr>
                <w:sz w:val="21"/>
              </w:rPr>
              <w:t>二、资源综合利用指标</w:t>
            </w:r>
          </w:p>
        </w:tc>
        <w:tc>
          <w:tcPr>
            <w:tcW w:w="4150" w:type="dxa"/>
          </w:tcPr>
          <w:p>
            <w:pPr>
              <w:pStyle w:val="11"/>
              <w:spacing w:before="11"/>
              <w:jc w:val="left"/>
              <w:rPr>
                <w:sz w:val="18"/>
              </w:rPr>
            </w:pPr>
          </w:p>
          <w:p>
            <w:pPr>
              <w:pStyle w:val="11"/>
              <w:ind w:left="229" w:right="222"/>
              <w:rPr>
                <w:rFonts w:ascii="Times New Roman" w:eastAsia="Times New Roman"/>
                <w:sz w:val="21"/>
              </w:rPr>
            </w:pPr>
            <w:r>
              <w:rPr>
                <w:sz w:val="21"/>
              </w:rPr>
              <w:t>固体废物综合回收利用率</w:t>
            </w:r>
            <w:r>
              <w:rPr>
                <w:rFonts w:ascii="Times New Roman" w:eastAsia="Times New Roman"/>
                <w:sz w:val="21"/>
              </w:rPr>
              <w:t>/%</w:t>
            </w:r>
          </w:p>
        </w:tc>
        <w:tc>
          <w:tcPr>
            <w:tcW w:w="2310" w:type="dxa"/>
          </w:tcPr>
          <w:p>
            <w:pPr>
              <w:pStyle w:val="11"/>
              <w:spacing w:before="12"/>
              <w:jc w:val="left"/>
              <w:rPr>
                <w:sz w:val="19"/>
              </w:rPr>
            </w:pPr>
          </w:p>
          <w:p>
            <w:pPr>
              <w:pStyle w:val="11"/>
              <w:ind w:left="244" w:right="236"/>
              <w:rPr>
                <w:rFonts w:ascii="Times New Roman"/>
                <w:sz w:val="21"/>
              </w:rPr>
            </w:pPr>
            <w:r>
              <w:rPr>
                <w:rFonts w:ascii="Times New Roman"/>
                <w:sz w:val="21"/>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5" w:hRule="atLeast"/>
        </w:trPr>
        <w:tc>
          <w:tcPr>
            <w:tcW w:w="1988" w:type="dxa"/>
            <w:vMerge w:val="continue"/>
            <w:tcBorders>
              <w:top w:val="nil"/>
            </w:tcBorders>
          </w:tcPr>
          <w:p>
            <w:pPr>
              <w:rPr>
                <w:sz w:val="2"/>
                <w:szCs w:val="2"/>
              </w:rPr>
            </w:pPr>
          </w:p>
        </w:tc>
        <w:tc>
          <w:tcPr>
            <w:tcW w:w="4150" w:type="dxa"/>
          </w:tcPr>
          <w:p>
            <w:pPr>
              <w:pStyle w:val="11"/>
              <w:spacing w:before="1"/>
              <w:jc w:val="left"/>
              <w:rPr>
                <w:sz w:val="18"/>
              </w:rPr>
            </w:pPr>
          </w:p>
          <w:p>
            <w:pPr>
              <w:pStyle w:val="11"/>
              <w:ind w:left="229" w:right="222"/>
              <w:rPr>
                <w:rFonts w:ascii="Times New Roman" w:eastAsia="Times New Roman"/>
                <w:sz w:val="21"/>
              </w:rPr>
            </w:pPr>
            <w:r>
              <w:rPr>
                <w:sz w:val="21"/>
              </w:rPr>
              <w:t>工业用水重复利用率</w:t>
            </w:r>
            <w:r>
              <w:rPr>
                <w:rFonts w:ascii="Times New Roman" w:eastAsia="Times New Roman"/>
                <w:sz w:val="21"/>
              </w:rPr>
              <w:t>/%</w:t>
            </w:r>
          </w:p>
        </w:tc>
        <w:tc>
          <w:tcPr>
            <w:tcW w:w="2310" w:type="dxa"/>
          </w:tcPr>
          <w:p>
            <w:pPr>
              <w:pStyle w:val="11"/>
              <w:spacing w:before="2"/>
              <w:jc w:val="left"/>
              <w:rPr>
                <w:sz w:val="19"/>
              </w:rPr>
            </w:pPr>
          </w:p>
          <w:p>
            <w:pPr>
              <w:pStyle w:val="11"/>
              <w:ind w:left="244" w:right="236"/>
              <w:rPr>
                <w:rFonts w:hint="default" w:ascii="Times New Roman" w:eastAsia="仿宋"/>
                <w:sz w:val="21"/>
                <w:lang w:val="en-US" w:eastAsia="zh-CN"/>
              </w:rPr>
            </w:pPr>
            <w:r>
              <w:rPr>
                <w:rFonts w:hint="eastAsia" w:ascii="Times New Roman"/>
                <w:sz w:val="21"/>
                <w:lang w:val="en-US" w:eastAsia="zh-CN"/>
              </w:rPr>
              <w:t>91</w:t>
            </w:r>
          </w:p>
        </w:tc>
      </w:tr>
    </w:tbl>
    <w:p>
      <w:pPr>
        <w:pStyle w:val="6"/>
        <w:rPr>
          <w:rFonts w:ascii="仿宋"/>
          <w:sz w:val="19"/>
        </w:rPr>
      </w:pPr>
    </w:p>
    <w:p>
      <w:pPr>
        <w:pStyle w:val="3"/>
        <w:numPr>
          <w:ilvl w:val="1"/>
          <w:numId w:val="7"/>
        </w:numPr>
        <w:tabs>
          <w:tab w:val="left" w:pos="1018"/>
        </w:tabs>
        <w:spacing w:before="0" w:after="0" w:line="240" w:lineRule="auto"/>
        <w:ind w:left="1017" w:right="0" w:hanging="480"/>
        <w:jc w:val="left"/>
      </w:pPr>
      <w:r>
        <w:t>企业的物质流分析</w:t>
      </w:r>
    </w:p>
    <w:p>
      <w:pPr>
        <w:pStyle w:val="6"/>
        <w:spacing w:before="10"/>
        <w:rPr>
          <w:rFonts w:ascii="黑体"/>
          <w:b/>
          <w:sz w:val="25"/>
        </w:rPr>
      </w:pPr>
    </w:p>
    <w:p>
      <w:pPr>
        <w:pStyle w:val="4"/>
        <w:numPr>
          <w:ilvl w:val="2"/>
          <w:numId w:val="7"/>
        </w:numPr>
        <w:tabs>
          <w:tab w:val="left" w:pos="1167"/>
        </w:tabs>
        <w:spacing w:before="0" w:after="0" w:line="240" w:lineRule="auto"/>
        <w:ind w:left="1166" w:right="0" w:hanging="629"/>
        <w:jc w:val="left"/>
      </w:pPr>
      <w:r>
        <w:t>生产经营中资源和能源的消耗量</w:t>
      </w:r>
    </w:p>
    <w:p>
      <w:pPr>
        <w:pStyle w:val="6"/>
        <w:spacing w:before="11"/>
        <w:rPr>
          <w:rFonts w:ascii="仿宋"/>
          <w:b/>
          <w:sz w:val="23"/>
        </w:rPr>
      </w:pPr>
    </w:p>
    <w:p>
      <w:pPr>
        <w:pStyle w:val="5"/>
        <w:numPr>
          <w:ilvl w:val="3"/>
          <w:numId w:val="7"/>
        </w:numPr>
        <w:tabs>
          <w:tab w:val="left" w:pos="1258"/>
        </w:tabs>
        <w:spacing w:before="0" w:after="0" w:line="240" w:lineRule="auto"/>
        <w:ind w:left="1257" w:right="0" w:hanging="720"/>
        <w:jc w:val="left"/>
      </w:pPr>
      <w:r>
        <w:t>能源、水资源消耗情况</w:t>
      </w:r>
    </w:p>
    <w:p>
      <w:pPr>
        <w:pStyle w:val="5"/>
        <w:numPr>
          <w:ilvl w:val="3"/>
          <w:numId w:val="7"/>
        </w:numPr>
        <w:tabs>
          <w:tab w:val="left" w:pos="1258"/>
        </w:tabs>
        <w:spacing w:before="64" w:after="0" w:line="240" w:lineRule="auto"/>
        <w:ind w:left="1257" w:right="0" w:hanging="720"/>
        <w:jc w:val="left"/>
      </w:pPr>
      <w:r>
        <w:rPr>
          <w:spacing w:val="-7"/>
        </w:rPr>
        <w:t>公司生产过程使用的主要能源包括电、水、天然气等</w:t>
      </w:r>
      <w:r>
        <w:rPr>
          <w:rFonts w:hint="eastAsia"/>
          <w:spacing w:val="-7"/>
          <w:lang w:eastAsia="zh-CN"/>
        </w:rPr>
        <w:t>。</w:t>
      </w:r>
    </w:p>
    <w:p>
      <w:pPr>
        <w:pStyle w:val="5"/>
        <w:numPr>
          <w:ilvl w:val="3"/>
          <w:numId w:val="7"/>
        </w:numPr>
        <w:tabs>
          <w:tab w:val="left" w:pos="1258"/>
        </w:tabs>
        <w:spacing w:before="64" w:after="0" w:line="240" w:lineRule="auto"/>
        <w:ind w:left="1257" w:right="0" w:hanging="720"/>
        <w:jc w:val="left"/>
      </w:pPr>
      <w:r>
        <w:t>主要原、辅材料消耗</w:t>
      </w:r>
      <w:r>
        <w:rPr>
          <w:rFonts w:hint="eastAsia"/>
          <w:lang w:eastAsia="zh-CN"/>
        </w:rPr>
        <w:t>有石英砂、纯碱、碎玻璃等。</w:t>
      </w:r>
    </w:p>
    <w:p>
      <w:pPr>
        <w:pStyle w:val="6"/>
        <w:spacing w:before="11"/>
        <w:rPr>
          <w:rFonts w:ascii="仿宋"/>
          <w:sz w:val="8"/>
        </w:rPr>
      </w:pPr>
    </w:p>
    <w:p>
      <w:pPr>
        <w:pStyle w:val="4"/>
        <w:numPr>
          <w:ilvl w:val="2"/>
          <w:numId w:val="7"/>
        </w:numPr>
        <w:tabs>
          <w:tab w:val="left" w:pos="1167"/>
        </w:tabs>
        <w:spacing w:before="71" w:after="0" w:line="240" w:lineRule="auto"/>
        <w:ind w:left="1166" w:right="0" w:hanging="629"/>
        <w:jc w:val="left"/>
      </w:pPr>
      <w:r>
        <w:t>产品或服务产出情况</w:t>
      </w:r>
    </w:p>
    <w:p>
      <w:pPr>
        <w:pStyle w:val="6"/>
        <w:spacing w:before="10"/>
        <w:rPr>
          <w:rFonts w:ascii="仿宋"/>
          <w:b/>
          <w:sz w:val="23"/>
        </w:rPr>
      </w:pPr>
    </w:p>
    <w:p>
      <w:pPr>
        <w:pStyle w:val="4"/>
        <w:numPr>
          <w:ilvl w:val="2"/>
          <w:numId w:val="7"/>
        </w:numPr>
        <w:tabs>
          <w:tab w:val="left" w:pos="1167"/>
        </w:tabs>
        <w:spacing w:before="123" w:after="0" w:line="240" w:lineRule="auto"/>
        <w:ind w:left="1166" w:right="0" w:hanging="629"/>
        <w:jc w:val="left"/>
      </w:pPr>
      <w:r>
        <w:t>生产经营过程中的环境负荷</w:t>
      </w:r>
    </w:p>
    <w:p>
      <w:pPr>
        <w:pStyle w:val="6"/>
        <w:spacing w:before="10"/>
        <w:rPr>
          <w:rFonts w:ascii="仿宋"/>
          <w:b/>
          <w:sz w:val="23"/>
        </w:rPr>
      </w:pPr>
    </w:p>
    <w:p>
      <w:pPr>
        <w:spacing w:after="0"/>
        <w:jc w:val="right"/>
        <w:rPr>
          <w:rFonts w:ascii="Times New Roman"/>
          <w:sz w:val="21"/>
        </w:rPr>
        <w:sectPr>
          <w:pgSz w:w="11910" w:h="16840"/>
          <w:pgMar w:top="1360" w:right="1560" w:bottom="740" w:left="1260" w:header="878" w:footer="547" w:gutter="0"/>
        </w:sectPr>
      </w:pPr>
    </w:p>
    <w:p>
      <w:pPr>
        <w:pStyle w:val="4"/>
        <w:numPr>
          <w:ilvl w:val="2"/>
          <w:numId w:val="7"/>
        </w:numPr>
        <w:tabs>
          <w:tab w:val="left" w:pos="1167"/>
        </w:tabs>
        <w:spacing w:before="64" w:after="0" w:line="240" w:lineRule="auto"/>
        <w:ind w:left="1166" w:right="0" w:hanging="629"/>
        <w:jc w:val="left"/>
      </w:pPr>
      <w:r>
        <w:t>说明企业环境保护设施的稳定运行情况和运行数据</w:t>
      </w:r>
    </w:p>
    <w:p>
      <w:pPr>
        <w:pStyle w:val="6"/>
        <w:spacing w:before="11"/>
        <w:rPr>
          <w:rFonts w:ascii="仿宋"/>
          <w:b/>
          <w:sz w:val="23"/>
        </w:rPr>
      </w:pPr>
    </w:p>
    <w:p>
      <w:pPr>
        <w:pStyle w:val="6"/>
        <w:spacing w:line="364" w:lineRule="auto"/>
        <w:ind w:left="537" w:right="236" w:firstLine="480"/>
      </w:pPr>
      <w:r>
        <w:rPr>
          <w:spacing w:val="-5"/>
        </w:rPr>
        <w:t>公司为各类污染物产生源配套了适当的收集与净化设施，选择了合理的污染</w:t>
      </w:r>
      <w:r>
        <w:t>物处理工艺，环保设施处理能力和处理效果均能满足企业实际需要。</w:t>
      </w:r>
      <w:r>
        <w:rPr>
          <w:rFonts w:ascii="Times New Roman" w:eastAsia="Times New Roman"/>
        </w:rPr>
        <w:t xml:space="preserve">2017 </w:t>
      </w:r>
      <w:r>
        <w:t>年度</w:t>
      </w:r>
      <w:r>
        <w:rPr>
          <w:spacing w:val="-3"/>
        </w:rPr>
        <w:t xml:space="preserve">公司环保设施正常稳定运行，与生产设施同步投运率均能达到 </w:t>
      </w:r>
      <w:r>
        <w:rPr>
          <w:rFonts w:ascii="Times New Roman" w:eastAsia="Times New Roman"/>
        </w:rPr>
        <w:t>100%</w:t>
      </w:r>
      <w:r>
        <w:t>，且污染物净化效率满足环保要求，外排污染物实现稳定达标排放。</w:t>
      </w:r>
    </w:p>
    <w:p>
      <w:pPr>
        <w:pStyle w:val="3"/>
        <w:numPr>
          <w:ilvl w:val="1"/>
          <w:numId w:val="7"/>
        </w:numPr>
        <w:tabs>
          <w:tab w:val="left" w:pos="1018"/>
        </w:tabs>
        <w:spacing w:before="50" w:after="0" w:line="240" w:lineRule="auto"/>
        <w:ind w:left="1017" w:right="0" w:hanging="480"/>
        <w:jc w:val="left"/>
      </w:pPr>
      <w:r>
        <w:t>环境会计</w:t>
      </w:r>
    </w:p>
    <w:p>
      <w:pPr>
        <w:pStyle w:val="6"/>
        <w:spacing w:before="10"/>
        <w:rPr>
          <w:rFonts w:ascii="黑体"/>
          <w:b/>
          <w:sz w:val="25"/>
        </w:rPr>
      </w:pPr>
    </w:p>
    <w:p>
      <w:pPr>
        <w:pStyle w:val="4"/>
        <w:numPr>
          <w:ilvl w:val="2"/>
          <w:numId w:val="7"/>
        </w:numPr>
        <w:tabs>
          <w:tab w:val="left" w:pos="1167"/>
        </w:tabs>
        <w:spacing w:before="0" w:after="0" w:line="240" w:lineRule="auto"/>
        <w:ind w:left="1166" w:right="0" w:hanging="629"/>
        <w:jc w:val="left"/>
      </w:pPr>
      <w:r>
        <w:t>企业的环保活动费用</w:t>
      </w:r>
    </w:p>
    <w:p>
      <w:pPr>
        <w:pStyle w:val="6"/>
        <w:spacing w:before="10"/>
        <w:rPr>
          <w:rFonts w:ascii="仿宋"/>
          <w:b/>
          <w:sz w:val="23"/>
        </w:rPr>
      </w:pPr>
    </w:p>
    <w:p>
      <w:pPr>
        <w:pStyle w:val="6"/>
        <w:spacing w:before="1" w:line="364" w:lineRule="auto"/>
        <w:ind w:left="537" w:right="236" w:firstLine="480"/>
        <w:jc w:val="both"/>
      </w:pPr>
      <w:r>
        <w:rPr>
          <w:spacing w:val="-6"/>
        </w:rPr>
        <w:t>公司的环保活动费用来源于三个方面，一是企业对本公司环保的投入，主要</w:t>
      </w:r>
      <w:r>
        <w:rPr>
          <w:spacing w:val="-7"/>
        </w:rPr>
        <w:t>用于环保设施的正常运行，购置相关环境应急设施等；二是清洁生产项目的实施</w:t>
      </w:r>
      <w:r>
        <w:rPr>
          <w:spacing w:val="-10"/>
        </w:rPr>
        <w:t>经费，是由相关部门审批，保证经费的落实到位；三是清洁生产活动经费，来源</w:t>
      </w:r>
      <w:r>
        <w:t>于政府部门对公司的清洁生产、循环经济奖励金。</w:t>
      </w:r>
    </w:p>
    <w:p>
      <w:pPr>
        <w:pStyle w:val="4"/>
        <w:numPr>
          <w:ilvl w:val="2"/>
          <w:numId w:val="7"/>
        </w:numPr>
        <w:tabs>
          <w:tab w:val="left" w:pos="1167"/>
        </w:tabs>
        <w:spacing w:before="118" w:after="0" w:line="240" w:lineRule="auto"/>
        <w:ind w:left="1166" w:right="0" w:hanging="629"/>
        <w:jc w:val="left"/>
      </w:pPr>
      <w:r>
        <w:t>各项环保活动取得的环境效益</w:t>
      </w:r>
    </w:p>
    <w:p>
      <w:pPr>
        <w:pStyle w:val="6"/>
        <w:spacing w:before="10"/>
        <w:rPr>
          <w:rFonts w:ascii="仿宋"/>
          <w:b/>
          <w:sz w:val="23"/>
        </w:rPr>
      </w:pPr>
    </w:p>
    <w:p>
      <w:pPr>
        <w:pStyle w:val="6"/>
        <w:spacing w:before="1"/>
        <w:ind w:left="1017"/>
      </w:pPr>
      <w:r>
        <w:t xml:space="preserve">公司于 </w:t>
      </w:r>
      <w:r>
        <w:rPr>
          <w:rFonts w:ascii="Times New Roman" w:eastAsia="Times New Roman"/>
        </w:rPr>
        <w:t>201</w:t>
      </w:r>
      <w:r>
        <w:rPr>
          <w:rFonts w:hint="eastAsia" w:ascii="Times New Roman"/>
          <w:lang w:val="en-US" w:eastAsia="zh-CN"/>
        </w:rPr>
        <w:t>8</w:t>
      </w:r>
      <w:r>
        <w:t xml:space="preserve">年 </w:t>
      </w:r>
      <w:r>
        <w:rPr>
          <w:rFonts w:ascii="Times New Roman" w:eastAsia="Times New Roman"/>
        </w:rPr>
        <w:t xml:space="preserve">5 </w:t>
      </w:r>
      <w:r>
        <w:t>月开展了清洁生产</w:t>
      </w:r>
      <w:r>
        <w:rPr>
          <w:spacing w:val="-7"/>
        </w:rPr>
        <w:t>审核工作。</w:t>
      </w:r>
    </w:p>
    <w:p>
      <w:pPr>
        <w:pStyle w:val="6"/>
        <w:spacing w:line="364" w:lineRule="auto"/>
        <w:ind w:left="537" w:right="236" w:firstLine="480"/>
        <w:rPr>
          <w:rFonts w:hint="eastAsia" w:eastAsia="宋体"/>
          <w:lang w:eastAsia="zh-CN"/>
        </w:rPr>
      </w:pPr>
      <w:r>
        <w:rPr>
          <w:rFonts w:ascii="Times New Roman" w:hAnsi="Times New Roman" w:eastAsia="Times New Roman"/>
        </w:rPr>
        <w:t>2017</w:t>
      </w:r>
      <w:r>
        <w:rPr>
          <w:rFonts w:hint="eastAsia" w:ascii="Times New Roman" w:hAnsi="Times New Roman"/>
          <w:lang w:val="en-US" w:eastAsia="zh-CN"/>
        </w:rPr>
        <w:t>9</w:t>
      </w:r>
      <w:r>
        <w:rPr>
          <w:spacing w:val="-30"/>
        </w:rPr>
        <w:t>年</w:t>
      </w:r>
      <w:r>
        <w:rPr>
          <w:rFonts w:hint="eastAsia"/>
          <w:spacing w:val="-30"/>
          <w:lang w:val="en-US" w:eastAsia="zh-CN"/>
        </w:rPr>
        <w:t>7</w:t>
      </w:r>
      <w:r>
        <w:rPr>
          <w:rFonts w:ascii="Times New Roman" w:hAnsi="Times New Roman" w:eastAsia="Times New Roman"/>
        </w:rPr>
        <w:t xml:space="preserve"> </w:t>
      </w:r>
      <w:r>
        <w:t>月</w:t>
      </w:r>
      <w:r>
        <w:rPr>
          <w:rFonts w:hint="eastAsia"/>
          <w:lang w:val="en-US" w:eastAsia="zh-CN"/>
        </w:rPr>
        <w:t>20-22日</w:t>
      </w:r>
      <w:r>
        <w:rPr>
          <w:rFonts w:hint="eastAsia"/>
          <w:lang w:eastAsia="zh-CN"/>
        </w:rPr>
        <w:t>开展环境体系认证工作。</w:t>
      </w:r>
    </w:p>
    <w:p>
      <w:pPr>
        <w:pStyle w:val="6"/>
        <w:spacing w:line="364" w:lineRule="auto"/>
        <w:ind w:left="537" w:right="236"/>
      </w:pPr>
      <w:r>
        <w:rPr>
          <w:spacing w:val="-11"/>
        </w:rPr>
        <w:t>“安全环保，意识先行”活动开展工作进行了部署，分公司领导与主要车间负责</w:t>
      </w:r>
      <w:r>
        <w:t>人签署了安全环保责任书，将安全环保责任落实到每个员工。</w:t>
      </w:r>
    </w:p>
    <w:p>
      <w:pPr>
        <w:spacing w:after="0" w:line="364" w:lineRule="auto"/>
        <w:sectPr>
          <w:pgSz w:w="11910" w:h="16840"/>
          <w:pgMar w:top="1360" w:right="1560" w:bottom="740" w:left="1260" w:header="878" w:footer="547" w:gutter="0"/>
        </w:sectPr>
      </w:pPr>
    </w:p>
    <w:p>
      <w:pPr>
        <w:pStyle w:val="6"/>
        <w:spacing w:before="11"/>
        <w:rPr>
          <w:b/>
          <w:sz w:val="20"/>
        </w:rPr>
      </w:pPr>
    </w:p>
    <w:p>
      <w:pPr>
        <w:spacing w:before="38"/>
        <w:ind w:left="306" w:right="0" w:firstLine="0"/>
        <w:jc w:val="center"/>
        <w:rPr>
          <w:b/>
          <w:sz w:val="44"/>
        </w:rPr>
      </w:pPr>
      <w:r>
        <w:rPr>
          <w:b/>
          <w:sz w:val="44"/>
        </w:rPr>
        <w:t>五、降低环境负荷的措施及绩效</w:t>
      </w:r>
    </w:p>
    <w:p>
      <w:pPr>
        <w:pStyle w:val="6"/>
        <w:spacing w:before="5"/>
        <w:rPr>
          <w:b/>
          <w:sz w:val="41"/>
        </w:rPr>
      </w:pPr>
    </w:p>
    <w:p>
      <w:pPr>
        <w:pStyle w:val="10"/>
        <w:numPr>
          <w:ilvl w:val="1"/>
          <w:numId w:val="8"/>
        </w:numPr>
        <w:tabs>
          <w:tab w:val="left" w:pos="1018"/>
        </w:tabs>
        <w:spacing w:before="0" w:after="0" w:line="240" w:lineRule="auto"/>
        <w:ind w:left="1017" w:right="0" w:hanging="480"/>
        <w:jc w:val="left"/>
        <w:rPr>
          <w:rFonts w:hint="eastAsia" w:ascii="黑体" w:eastAsia="黑体"/>
          <w:b/>
          <w:sz w:val="32"/>
        </w:rPr>
      </w:pPr>
      <w:r>
        <w:rPr>
          <w:rFonts w:hint="eastAsia" w:ascii="黑体" w:eastAsia="黑体"/>
          <w:b/>
          <w:sz w:val="32"/>
        </w:rPr>
        <w:t>废弃产品的回收和再生利用情况</w:t>
      </w:r>
    </w:p>
    <w:p>
      <w:pPr>
        <w:pStyle w:val="6"/>
        <w:rPr>
          <w:rFonts w:ascii="黑体"/>
          <w:b/>
          <w:sz w:val="26"/>
        </w:rPr>
      </w:pPr>
    </w:p>
    <w:p>
      <w:pPr>
        <w:pStyle w:val="10"/>
        <w:numPr>
          <w:ilvl w:val="2"/>
          <w:numId w:val="8"/>
        </w:numPr>
        <w:tabs>
          <w:tab w:val="left" w:pos="1167"/>
        </w:tabs>
        <w:spacing w:before="0" w:after="0" w:line="240" w:lineRule="auto"/>
        <w:ind w:left="1166" w:right="0" w:hanging="629"/>
        <w:jc w:val="left"/>
        <w:rPr>
          <w:b/>
          <w:sz w:val="28"/>
        </w:rPr>
      </w:pPr>
      <w:r>
        <w:rPr>
          <w:b/>
          <w:sz w:val="28"/>
        </w:rPr>
        <w:t>产品生产总量或销售总量</w:t>
      </w:r>
    </w:p>
    <w:p>
      <w:pPr>
        <w:pStyle w:val="6"/>
        <w:spacing w:before="11"/>
        <w:rPr>
          <w:rFonts w:ascii="仿宋"/>
          <w:b/>
          <w:sz w:val="23"/>
        </w:rPr>
      </w:pPr>
    </w:p>
    <w:p>
      <w:pPr>
        <w:pStyle w:val="6"/>
        <w:ind w:left="1017"/>
      </w:pPr>
      <w:r>
        <w:rPr>
          <w:rFonts w:ascii="Times New Roman" w:eastAsia="Times New Roman"/>
        </w:rPr>
        <w:t>201</w:t>
      </w:r>
      <w:r>
        <w:rPr>
          <w:rFonts w:hint="eastAsia" w:ascii="Times New Roman"/>
          <w:lang w:val="en-US" w:eastAsia="zh-CN"/>
        </w:rPr>
        <w:t>8</w:t>
      </w:r>
      <w:r>
        <w:rPr>
          <w:rFonts w:ascii="Times New Roman" w:eastAsia="Times New Roman"/>
        </w:rPr>
        <w:t xml:space="preserve"> </w:t>
      </w:r>
      <w:r>
        <w:t>年公司</w:t>
      </w:r>
      <w:r>
        <w:rPr>
          <w:rFonts w:hint="eastAsia"/>
          <w:lang w:eastAsia="zh-CN"/>
        </w:rPr>
        <w:t>产量为</w:t>
      </w:r>
      <w:r>
        <w:rPr>
          <w:rFonts w:hint="eastAsia"/>
          <w:lang w:val="en-US" w:eastAsia="zh-CN"/>
        </w:rPr>
        <w:t>6万吨</w:t>
      </w:r>
      <w:r>
        <w:t>。</w:t>
      </w:r>
    </w:p>
    <w:p>
      <w:pPr>
        <w:pStyle w:val="6"/>
        <w:spacing w:before="12"/>
        <w:rPr>
          <w:sz w:val="21"/>
        </w:rPr>
      </w:pPr>
    </w:p>
    <w:p>
      <w:pPr>
        <w:pStyle w:val="4"/>
        <w:numPr>
          <w:ilvl w:val="2"/>
          <w:numId w:val="8"/>
        </w:numPr>
        <w:tabs>
          <w:tab w:val="left" w:pos="1167"/>
        </w:tabs>
        <w:spacing w:before="0" w:after="0" w:line="240" w:lineRule="auto"/>
        <w:ind w:left="1166" w:right="0" w:hanging="629"/>
        <w:jc w:val="left"/>
      </w:pPr>
      <w:r>
        <w:t>废弃产品的回收量</w:t>
      </w:r>
    </w:p>
    <w:p>
      <w:pPr>
        <w:pStyle w:val="6"/>
        <w:spacing w:before="11"/>
        <w:rPr>
          <w:rFonts w:ascii="仿宋"/>
          <w:b/>
          <w:sz w:val="23"/>
        </w:rPr>
      </w:pPr>
    </w:p>
    <w:p>
      <w:pPr>
        <w:pStyle w:val="6"/>
        <w:ind w:left="1017"/>
      </w:pPr>
      <w:r>
        <w:rPr>
          <w:rFonts w:ascii="Times New Roman" w:eastAsia="Times New Roman"/>
        </w:rPr>
        <w:t>2017</w:t>
      </w:r>
      <w:r>
        <w:rPr>
          <w:rFonts w:hint="eastAsia" w:ascii="Times New Roman"/>
          <w:lang w:val="en-US" w:eastAsia="zh-CN"/>
        </w:rPr>
        <w:t>8</w:t>
      </w:r>
      <w:r>
        <w:t xml:space="preserve">年公司生产产品合格率 </w:t>
      </w:r>
      <w:r>
        <w:rPr>
          <w:rFonts w:hint="eastAsia"/>
          <w:lang w:val="en-US" w:eastAsia="zh-CN"/>
        </w:rPr>
        <w:t>98</w:t>
      </w:r>
      <w:r>
        <w:rPr>
          <w:rFonts w:ascii="Times New Roman" w:eastAsia="Times New Roman"/>
        </w:rPr>
        <w:t>%</w:t>
      </w:r>
      <w:r>
        <w:t>，不存在废弃产品。</w:t>
      </w:r>
    </w:p>
    <w:p>
      <w:pPr>
        <w:pStyle w:val="6"/>
        <w:spacing w:before="158" w:line="364" w:lineRule="auto"/>
        <w:ind w:left="537" w:right="236" w:firstLine="480"/>
        <w:jc w:val="both"/>
        <w:rPr>
          <w:rFonts w:hint="default" w:eastAsia="宋体"/>
          <w:lang w:val="en-US" w:eastAsia="zh-CN"/>
        </w:rPr>
      </w:pPr>
      <w:r>
        <w:rPr>
          <w:spacing w:val="-5"/>
        </w:rPr>
        <w:t>公司</w:t>
      </w:r>
      <w:r>
        <w:rPr>
          <w:rFonts w:hint="eastAsia"/>
          <w:spacing w:val="-5"/>
          <w:lang w:eastAsia="zh-CN"/>
        </w:rPr>
        <w:t>产品生产过程中产生的固体废物主要是碎玻璃，利用率为</w:t>
      </w:r>
      <w:r>
        <w:rPr>
          <w:rFonts w:hint="eastAsia"/>
          <w:spacing w:val="-5"/>
          <w:lang w:val="en-US" w:eastAsia="zh-CN"/>
        </w:rPr>
        <w:t>100%。</w:t>
      </w:r>
    </w:p>
    <w:p>
      <w:pPr>
        <w:pStyle w:val="3"/>
        <w:numPr>
          <w:ilvl w:val="1"/>
          <w:numId w:val="9"/>
        </w:numPr>
        <w:tabs>
          <w:tab w:val="left" w:pos="1018"/>
        </w:tabs>
        <w:spacing w:before="49" w:after="0" w:line="240" w:lineRule="auto"/>
        <w:ind w:left="1017" w:right="0" w:hanging="480"/>
        <w:jc w:val="left"/>
      </w:pPr>
      <w:r>
        <w:t>能源消耗及节能情况</w:t>
      </w:r>
    </w:p>
    <w:p>
      <w:pPr>
        <w:pStyle w:val="6"/>
        <w:rPr>
          <w:rFonts w:ascii="黑体"/>
          <w:b/>
          <w:sz w:val="26"/>
        </w:rPr>
      </w:pPr>
    </w:p>
    <w:p>
      <w:pPr>
        <w:pStyle w:val="4"/>
        <w:numPr>
          <w:ilvl w:val="2"/>
          <w:numId w:val="9"/>
        </w:numPr>
        <w:tabs>
          <w:tab w:val="left" w:pos="1167"/>
        </w:tabs>
        <w:spacing w:before="0" w:after="0" w:line="240" w:lineRule="auto"/>
        <w:ind w:left="1166" w:right="0" w:hanging="629"/>
        <w:jc w:val="left"/>
      </w:pPr>
      <w:r>
        <w:t>消耗总量</w:t>
      </w:r>
    </w:p>
    <w:p>
      <w:pPr>
        <w:pStyle w:val="6"/>
        <w:spacing w:before="10"/>
        <w:rPr>
          <w:rFonts w:ascii="仿宋"/>
          <w:b/>
          <w:sz w:val="23"/>
        </w:rPr>
      </w:pPr>
    </w:p>
    <w:p>
      <w:pPr>
        <w:pStyle w:val="6"/>
        <w:spacing w:line="364" w:lineRule="auto"/>
        <w:ind w:left="537" w:right="267" w:firstLine="480"/>
        <w:jc w:val="both"/>
      </w:pPr>
      <w:r>
        <w:rPr>
          <w:spacing w:val="-20"/>
        </w:rPr>
        <w:t xml:space="preserve">公司 </w:t>
      </w:r>
      <w:r>
        <w:rPr>
          <w:rFonts w:ascii="Times New Roman" w:eastAsia="Times New Roman"/>
        </w:rPr>
        <w:t>201</w:t>
      </w:r>
      <w:r>
        <w:rPr>
          <w:rFonts w:hint="eastAsia" w:ascii="Times New Roman"/>
          <w:lang w:val="en-US" w:eastAsia="zh-CN"/>
        </w:rPr>
        <w:t>8</w:t>
      </w:r>
      <w:r>
        <w:rPr>
          <w:rFonts w:ascii="Times New Roman" w:eastAsia="Times New Roman"/>
        </w:rPr>
        <w:t xml:space="preserve"> </w:t>
      </w:r>
      <w:r>
        <w:rPr>
          <w:spacing w:val="-1"/>
        </w:rPr>
        <w:t>年生产过程使用的主要能源包括电、水、天然气等</w:t>
      </w:r>
      <w:r>
        <w:t>。</w:t>
      </w:r>
    </w:p>
    <w:p>
      <w:pPr>
        <w:pStyle w:val="4"/>
        <w:numPr>
          <w:ilvl w:val="2"/>
          <w:numId w:val="9"/>
        </w:numPr>
        <w:tabs>
          <w:tab w:val="left" w:pos="1167"/>
        </w:tabs>
        <w:spacing w:before="64" w:after="0" w:line="240" w:lineRule="auto"/>
        <w:ind w:left="1166" w:right="0" w:hanging="629"/>
        <w:jc w:val="left"/>
      </w:pPr>
      <w:r>
        <w:t>构成及来源</w:t>
      </w:r>
    </w:p>
    <w:p>
      <w:pPr>
        <w:pStyle w:val="6"/>
        <w:spacing w:before="11"/>
        <w:rPr>
          <w:rFonts w:ascii="仿宋"/>
          <w:b/>
          <w:sz w:val="23"/>
        </w:rPr>
      </w:pPr>
    </w:p>
    <w:p>
      <w:pPr>
        <w:pStyle w:val="6"/>
        <w:ind w:left="1017"/>
      </w:pPr>
      <w:r>
        <w:t>公司主要使用能源为包括电、水、天然气等，</w:t>
      </w:r>
      <w:r>
        <w:rPr>
          <w:rFonts w:hint="eastAsia"/>
          <w:lang w:eastAsia="zh-CN"/>
        </w:rPr>
        <w:t>除水外</w:t>
      </w:r>
      <w:r>
        <w:t>均为外购。</w:t>
      </w:r>
    </w:p>
    <w:p>
      <w:pPr>
        <w:pStyle w:val="4"/>
        <w:numPr>
          <w:ilvl w:val="2"/>
          <w:numId w:val="9"/>
        </w:numPr>
        <w:tabs>
          <w:tab w:val="left" w:pos="1167"/>
        </w:tabs>
        <w:spacing w:before="188" w:after="0" w:line="240" w:lineRule="auto"/>
        <w:ind w:left="1166" w:right="0" w:hanging="629"/>
        <w:jc w:val="left"/>
      </w:pPr>
      <w:r>
        <w:t>利用效率及节能措施</w:t>
      </w:r>
    </w:p>
    <w:p>
      <w:pPr>
        <w:pStyle w:val="6"/>
        <w:spacing w:before="10"/>
        <w:rPr>
          <w:rFonts w:ascii="仿宋"/>
          <w:b/>
          <w:sz w:val="23"/>
        </w:rPr>
      </w:pPr>
    </w:p>
    <w:p>
      <w:pPr>
        <w:pStyle w:val="6"/>
        <w:ind w:left="1017"/>
      </w:pPr>
      <w:r>
        <w:t>公司提高能源利用效率和促进节能工作的主要措施有：</w:t>
      </w:r>
    </w:p>
    <w:p>
      <w:pPr>
        <w:pStyle w:val="10"/>
        <w:numPr>
          <w:ilvl w:val="3"/>
          <w:numId w:val="9"/>
        </w:numPr>
        <w:tabs>
          <w:tab w:val="left" w:pos="1619"/>
        </w:tabs>
        <w:spacing w:before="158" w:after="0" w:line="364" w:lineRule="auto"/>
        <w:ind w:left="537" w:right="236" w:firstLine="480"/>
        <w:jc w:val="both"/>
        <w:rPr>
          <w:rFonts w:ascii="Times New Roman" w:hAnsi="Times New Roman" w:eastAsia="Times New Roman"/>
          <w:sz w:val="24"/>
        </w:rPr>
      </w:pPr>
      <w:r>
        <w:rPr>
          <w:rFonts w:hint="eastAsia" w:ascii="宋体" w:hAnsi="宋体" w:eastAsia="宋体"/>
          <w:spacing w:val="-1"/>
          <w:sz w:val="24"/>
        </w:rPr>
        <w:t>车间积极优化生产工序，节约电耗</w:t>
      </w:r>
      <w:r>
        <w:rPr>
          <w:rFonts w:hint="eastAsia" w:ascii="宋体" w:hAnsi="宋体" w:eastAsia="宋体"/>
          <w:spacing w:val="-1"/>
          <w:sz w:val="24"/>
          <w:lang w:eastAsia="zh-CN"/>
        </w:rPr>
        <w:t>。</w:t>
      </w:r>
    </w:p>
    <w:p>
      <w:pPr>
        <w:pStyle w:val="10"/>
        <w:numPr>
          <w:ilvl w:val="3"/>
          <w:numId w:val="9"/>
        </w:numPr>
        <w:tabs>
          <w:tab w:val="left" w:pos="1619"/>
        </w:tabs>
        <w:spacing w:before="0" w:after="0" w:line="364" w:lineRule="auto"/>
        <w:ind w:left="537" w:right="116" w:firstLine="480"/>
        <w:jc w:val="left"/>
        <w:rPr>
          <w:rFonts w:hint="eastAsia" w:ascii="宋体" w:eastAsia="宋体"/>
          <w:sz w:val="24"/>
        </w:rPr>
      </w:pPr>
      <w:r>
        <w:rPr>
          <w:rFonts w:hint="eastAsia" w:ascii="宋体" w:eastAsia="宋体"/>
          <w:spacing w:val="-9"/>
          <w:sz w:val="24"/>
        </w:rPr>
        <w:t>加强了循环水的管理和使用。</w:t>
      </w:r>
      <w:r>
        <w:rPr>
          <w:rFonts w:ascii="Times New Roman" w:eastAsia="Times New Roman"/>
          <w:sz w:val="24"/>
        </w:rPr>
        <w:t>201</w:t>
      </w:r>
      <w:r>
        <w:rPr>
          <w:rFonts w:hint="eastAsia" w:ascii="Times New Roman" w:eastAsia="宋体"/>
          <w:sz w:val="24"/>
          <w:lang w:val="en-US" w:eastAsia="zh-CN"/>
        </w:rPr>
        <w:t>8</w:t>
      </w:r>
      <w:r>
        <w:rPr>
          <w:rFonts w:ascii="Times New Roman" w:eastAsia="Times New Roman"/>
          <w:sz w:val="24"/>
        </w:rPr>
        <w:t xml:space="preserve"> </w:t>
      </w:r>
      <w:r>
        <w:rPr>
          <w:rFonts w:hint="eastAsia" w:ascii="宋体" w:eastAsia="宋体"/>
          <w:sz w:val="24"/>
        </w:rPr>
        <w:t>年</w:t>
      </w:r>
      <w:r>
        <w:rPr>
          <w:rFonts w:hint="eastAsia" w:ascii="宋体" w:eastAsia="宋体"/>
          <w:spacing w:val="-16"/>
          <w:sz w:val="24"/>
        </w:rPr>
        <w:t xml:space="preserve"> 与 </w:t>
      </w:r>
      <w:r>
        <w:rPr>
          <w:rFonts w:ascii="Times New Roman" w:eastAsia="Times New Roman"/>
          <w:sz w:val="24"/>
        </w:rPr>
        <w:t>2016</w:t>
      </w:r>
      <w:r>
        <w:rPr>
          <w:rFonts w:hint="eastAsia" w:ascii="Times New Roman" w:eastAsia="宋体"/>
          <w:sz w:val="24"/>
          <w:lang w:val="en-US" w:eastAsia="zh-CN"/>
        </w:rPr>
        <w:t>7</w:t>
      </w:r>
      <w:r>
        <w:rPr>
          <w:rFonts w:hint="eastAsia" w:ascii="宋体" w:eastAsia="宋体"/>
          <w:spacing w:val="-15"/>
          <w:sz w:val="24"/>
        </w:rPr>
        <w:t xml:space="preserve">年同期 </w:t>
      </w:r>
      <w:r>
        <w:rPr>
          <w:rFonts w:hint="eastAsia" w:ascii="宋体" w:eastAsia="宋体"/>
          <w:spacing w:val="-15"/>
          <w:sz w:val="24"/>
          <w:lang w:val="en-US" w:eastAsia="zh-CN"/>
        </w:rPr>
        <w:t>0.62</w:t>
      </w:r>
      <w:r>
        <w:rPr>
          <w:rFonts w:ascii="Times New Roman" w:eastAsia="Times New Roman"/>
          <w:sz w:val="24"/>
        </w:rPr>
        <w:t>t/</w:t>
      </w:r>
      <w:r>
        <w:rPr>
          <w:rFonts w:hint="eastAsia" w:ascii="宋体" w:eastAsia="宋体"/>
          <w:spacing w:val="-12"/>
          <w:sz w:val="24"/>
        </w:rPr>
        <w:t xml:space="preserve">相比下降 </w:t>
      </w:r>
      <w:r>
        <w:rPr>
          <w:rFonts w:ascii="Times New Roman" w:eastAsia="Times New Roman"/>
          <w:sz w:val="24"/>
        </w:rPr>
        <w:t>17%</w:t>
      </w:r>
      <w:r>
        <w:rPr>
          <w:rFonts w:hint="eastAsia" w:ascii="宋体" w:eastAsia="宋体"/>
          <w:sz w:val="24"/>
        </w:rPr>
        <w:t>。</w:t>
      </w:r>
    </w:p>
    <w:p>
      <w:pPr>
        <w:pStyle w:val="6"/>
        <w:spacing w:line="364" w:lineRule="auto"/>
        <w:ind w:left="537" w:right="236" w:firstLine="480"/>
        <w:jc w:val="both"/>
      </w:pPr>
      <w:r>
        <w:rPr>
          <w:spacing w:val="-5"/>
        </w:rPr>
        <w:t>（</w:t>
      </w:r>
      <w:r>
        <w:rPr>
          <w:rFonts w:ascii="Times New Roman" w:eastAsia="Times New Roman"/>
          <w:spacing w:val="-5"/>
        </w:rPr>
        <w:t>3</w:t>
      </w:r>
      <w:r>
        <w:rPr>
          <w:spacing w:val="-5"/>
        </w:rPr>
        <w:t>）</w:t>
      </w:r>
      <w:r>
        <w:rPr>
          <w:rFonts w:ascii="Times New Roman" w:eastAsia="Times New Roman"/>
          <w:spacing w:val="-5"/>
        </w:rPr>
        <w:t>201</w:t>
      </w:r>
      <w:r>
        <w:rPr>
          <w:rFonts w:hint="eastAsia" w:ascii="Times New Roman"/>
          <w:spacing w:val="-5"/>
          <w:lang w:val="en-US" w:eastAsia="zh-CN"/>
        </w:rPr>
        <w:t>8</w:t>
      </w:r>
      <w:r>
        <w:rPr>
          <w:rFonts w:ascii="Times New Roman" w:eastAsia="Times New Roman"/>
          <w:spacing w:val="-5"/>
        </w:rPr>
        <w:t xml:space="preserve"> </w:t>
      </w:r>
      <w:r>
        <w:rPr>
          <w:spacing w:val="-1"/>
        </w:rPr>
        <w:t>年全年</w:t>
      </w:r>
      <w:r>
        <w:rPr>
          <w:spacing w:val="-19"/>
        </w:rPr>
        <w:t>减少了天然气锅炉的使用，大大降低了天然气消耗量，节能效果明显，</w:t>
      </w:r>
      <w:r>
        <w:rPr>
          <w:rFonts w:ascii="Times New Roman" w:eastAsia="Times New Roman"/>
          <w:spacing w:val="-21"/>
        </w:rPr>
        <w:t xml:space="preserve">2017 </w:t>
      </w:r>
      <w:r>
        <w:rPr>
          <w:spacing w:val="-6"/>
        </w:rPr>
        <w:t xml:space="preserve">年天然气用量同比下降 </w:t>
      </w:r>
      <w:r>
        <w:rPr>
          <w:rFonts w:ascii="Times New Roman" w:eastAsia="Times New Roman"/>
        </w:rPr>
        <w:t>3%</w:t>
      </w:r>
      <w:r>
        <w:t>。</w:t>
      </w:r>
    </w:p>
    <w:p>
      <w:pPr>
        <w:pStyle w:val="10"/>
        <w:numPr>
          <w:ilvl w:val="0"/>
          <w:numId w:val="10"/>
        </w:numPr>
        <w:tabs>
          <w:tab w:val="left" w:pos="1619"/>
        </w:tabs>
        <w:spacing w:before="0" w:after="0" w:line="364" w:lineRule="auto"/>
        <w:ind w:left="537" w:right="236" w:firstLine="480"/>
        <w:jc w:val="both"/>
        <w:rPr>
          <w:rFonts w:hint="eastAsia" w:ascii="宋体" w:eastAsia="宋体"/>
          <w:sz w:val="24"/>
        </w:rPr>
      </w:pPr>
      <w:r>
        <w:rPr>
          <w:rFonts w:hint="eastAsia" w:ascii="宋体" w:eastAsia="宋体"/>
          <w:spacing w:val="-3"/>
          <w:sz w:val="24"/>
        </w:rPr>
        <w:t xml:space="preserve">对车间厂房内照明系统进行节能灯改造，每年电费可节约 </w:t>
      </w:r>
      <w:r>
        <w:rPr>
          <w:rFonts w:ascii="Times New Roman" w:eastAsia="Times New Roman"/>
          <w:spacing w:val="-8"/>
          <w:sz w:val="24"/>
        </w:rPr>
        <w:t xml:space="preserve">9 </w:t>
      </w:r>
      <w:r>
        <w:rPr>
          <w:rFonts w:hint="eastAsia" w:ascii="宋体" w:eastAsia="宋体"/>
          <w:spacing w:val="-5"/>
          <w:sz w:val="24"/>
        </w:rPr>
        <w:t>万元</w:t>
      </w:r>
      <w:r>
        <w:rPr>
          <w:rFonts w:hint="eastAsia" w:ascii="宋体" w:eastAsia="宋体"/>
          <w:sz w:val="24"/>
        </w:rPr>
        <w:t>。</w:t>
      </w:r>
    </w:p>
    <w:p>
      <w:pPr>
        <w:pStyle w:val="3"/>
        <w:numPr>
          <w:ilvl w:val="1"/>
          <w:numId w:val="11"/>
        </w:numPr>
        <w:tabs>
          <w:tab w:val="left" w:pos="1018"/>
        </w:tabs>
        <w:spacing w:before="46" w:after="0" w:line="240" w:lineRule="auto"/>
        <w:ind w:left="1017" w:right="0" w:hanging="480"/>
        <w:jc w:val="left"/>
      </w:pPr>
      <w:r>
        <w:t>废气排放量及削减措施</w:t>
      </w:r>
    </w:p>
    <w:p>
      <w:pPr>
        <w:pStyle w:val="6"/>
        <w:spacing w:before="64" w:line="364" w:lineRule="auto"/>
        <w:ind w:left="537" w:right="236" w:firstLine="480"/>
      </w:pPr>
      <w:r>
        <w:rPr>
          <w:rFonts w:ascii="Times New Roman" w:eastAsia="Times New Roman"/>
        </w:rPr>
        <w:t>201</w:t>
      </w:r>
      <w:r>
        <w:rPr>
          <w:rFonts w:hint="eastAsia" w:ascii="Times New Roman"/>
          <w:lang w:val="en-US" w:eastAsia="zh-CN"/>
        </w:rPr>
        <w:t>8结合煤改气工程，购置两套布袋除尘设施盒SCR脱销设施，总投资1000多万元，</w:t>
      </w:r>
      <w:r>
        <w:rPr>
          <w:rFonts w:ascii="Times New Roman" w:eastAsia="Times New Roman"/>
        </w:rPr>
        <w:t xml:space="preserve"> </w:t>
      </w:r>
      <w:r>
        <w:rPr>
          <w:spacing w:val="-3"/>
        </w:rPr>
        <w:t xml:space="preserve">处理后的气体经 </w:t>
      </w:r>
      <w:r>
        <w:rPr>
          <w:rFonts w:hint="eastAsia"/>
          <w:spacing w:val="-3"/>
          <w:lang w:val="en-US" w:eastAsia="zh-CN"/>
        </w:rPr>
        <w:t>60</w:t>
      </w:r>
      <w:r>
        <w:rPr>
          <w:rFonts w:ascii="Times New Roman" w:eastAsia="Times New Roman"/>
        </w:rPr>
        <w:t xml:space="preserve"> </w:t>
      </w:r>
      <w:r>
        <w:t>米排气筒达标排放。</w:t>
      </w:r>
    </w:p>
    <w:p>
      <w:pPr>
        <w:pStyle w:val="3"/>
        <w:numPr>
          <w:ilvl w:val="1"/>
          <w:numId w:val="11"/>
        </w:numPr>
        <w:tabs>
          <w:tab w:val="left" w:pos="1018"/>
        </w:tabs>
        <w:spacing w:before="50" w:after="0" w:line="240" w:lineRule="auto"/>
        <w:ind w:left="1017" w:right="0" w:hanging="480"/>
        <w:jc w:val="left"/>
      </w:pPr>
      <w:r>
        <w:t>水资源消耗量及节水措施</w:t>
      </w:r>
    </w:p>
    <w:p>
      <w:pPr>
        <w:pStyle w:val="6"/>
        <w:rPr>
          <w:rFonts w:ascii="黑体"/>
          <w:b/>
          <w:sz w:val="26"/>
        </w:rPr>
      </w:pPr>
    </w:p>
    <w:p>
      <w:pPr>
        <w:pStyle w:val="4"/>
        <w:numPr>
          <w:ilvl w:val="2"/>
          <w:numId w:val="11"/>
        </w:numPr>
        <w:tabs>
          <w:tab w:val="left" w:pos="1167"/>
        </w:tabs>
        <w:spacing w:before="0" w:after="0" w:line="240" w:lineRule="auto"/>
        <w:ind w:left="1166" w:right="0" w:hanging="629"/>
        <w:jc w:val="left"/>
      </w:pPr>
      <w:r>
        <w:t>来源、构成比例及消耗量</w:t>
      </w:r>
    </w:p>
    <w:p>
      <w:pPr>
        <w:pStyle w:val="6"/>
        <w:spacing w:before="8"/>
        <w:rPr>
          <w:rFonts w:ascii="仿宋"/>
          <w:b/>
          <w:sz w:val="23"/>
        </w:rPr>
      </w:pPr>
    </w:p>
    <w:p>
      <w:pPr>
        <w:pStyle w:val="6"/>
        <w:spacing w:before="1"/>
        <w:ind w:left="1017"/>
      </w:pPr>
      <w:r>
        <w:rPr>
          <w:rFonts w:ascii="Times New Roman" w:eastAsia="Times New Roman"/>
        </w:rPr>
        <w:t>201</w:t>
      </w:r>
      <w:r>
        <w:rPr>
          <w:rFonts w:hint="eastAsia" w:ascii="Times New Roman"/>
          <w:lang w:val="en-US" w:eastAsia="zh-CN"/>
        </w:rPr>
        <w:t>8</w:t>
      </w:r>
      <w:r>
        <w:rPr>
          <w:rFonts w:ascii="Times New Roman" w:eastAsia="Times New Roman"/>
        </w:rPr>
        <w:t xml:space="preserve"> </w:t>
      </w:r>
      <w:r>
        <w:t>年公司生产用水</w:t>
      </w:r>
      <w:r>
        <w:rPr>
          <w:rFonts w:hint="eastAsia"/>
          <w:lang w:eastAsia="zh-CN"/>
        </w:rPr>
        <w:t>主要采用地表水</w:t>
      </w:r>
      <w:r>
        <w:t>，</w:t>
      </w:r>
    </w:p>
    <w:p>
      <w:pPr>
        <w:pStyle w:val="6"/>
        <w:spacing w:before="160"/>
        <w:ind w:left="537"/>
      </w:pPr>
      <w:r>
        <w:t xml:space="preserve">年水资源消耗总量为 </w:t>
      </w:r>
      <w:r>
        <w:rPr>
          <w:rFonts w:hint="eastAsia" w:ascii="Times New Roman"/>
          <w:lang w:val="en-US" w:eastAsia="zh-CN"/>
        </w:rPr>
        <w:t>36000</w:t>
      </w:r>
      <w:r>
        <w:t>吨，重复用水量为</w:t>
      </w:r>
      <w:r>
        <w:rPr>
          <w:rFonts w:hint="eastAsia"/>
          <w:lang w:val="en-US" w:eastAsia="zh-CN"/>
        </w:rPr>
        <w:t>33000</w:t>
      </w:r>
      <w:r>
        <w:rPr>
          <w:rFonts w:ascii="Times New Roman" w:eastAsia="Times New Roman"/>
        </w:rPr>
        <w:t xml:space="preserve"> </w:t>
      </w:r>
      <w:r>
        <w:t>吨。</w:t>
      </w:r>
    </w:p>
    <w:p>
      <w:pPr>
        <w:pStyle w:val="6"/>
        <w:spacing w:before="10"/>
        <w:rPr>
          <w:sz w:val="21"/>
        </w:rPr>
      </w:pPr>
    </w:p>
    <w:p>
      <w:pPr>
        <w:pStyle w:val="4"/>
        <w:numPr>
          <w:ilvl w:val="2"/>
          <w:numId w:val="11"/>
        </w:numPr>
        <w:tabs>
          <w:tab w:val="left" w:pos="1167"/>
        </w:tabs>
        <w:spacing w:before="0" w:after="0" w:line="240" w:lineRule="auto"/>
        <w:ind w:left="1166" w:right="0" w:hanging="629"/>
        <w:jc w:val="left"/>
      </w:pPr>
      <w:r>
        <w:t>重复利用率及提高措施</w:t>
      </w:r>
    </w:p>
    <w:p>
      <w:pPr>
        <w:pStyle w:val="6"/>
        <w:spacing w:before="10"/>
        <w:rPr>
          <w:rFonts w:ascii="仿宋"/>
          <w:b/>
          <w:sz w:val="23"/>
        </w:rPr>
      </w:pPr>
    </w:p>
    <w:p>
      <w:pPr>
        <w:pStyle w:val="6"/>
        <w:spacing w:before="1" w:line="364" w:lineRule="auto"/>
        <w:ind w:left="537" w:right="236" w:firstLine="480"/>
        <w:jc w:val="both"/>
        <w:rPr>
          <w:rFonts w:hint="eastAsia" w:eastAsia="宋体"/>
          <w:lang w:eastAsia="zh-CN"/>
        </w:rPr>
      </w:pPr>
      <w:r>
        <w:rPr>
          <w:spacing w:val="-20"/>
        </w:rPr>
        <w:t xml:space="preserve">公司 </w:t>
      </w:r>
      <w:r>
        <w:rPr>
          <w:rFonts w:ascii="Times New Roman" w:eastAsia="Times New Roman"/>
        </w:rPr>
        <w:t>201</w:t>
      </w:r>
      <w:r>
        <w:rPr>
          <w:rFonts w:hint="eastAsia" w:ascii="Times New Roman"/>
          <w:lang w:val="en-US" w:eastAsia="zh-CN"/>
        </w:rPr>
        <w:t>8</w:t>
      </w:r>
      <w:r>
        <w:rPr>
          <w:rFonts w:ascii="Times New Roman" w:eastAsia="Times New Roman"/>
        </w:rPr>
        <w:t xml:space="preserve"> </w:t>
      </w:r>
      <w:r>
        <w:rPr>
          <w:spacing w:val="-5"/>
        </w:rPr>
        <w:t>年工业用水重复利用率为</w:t>
      </w:r>
      <w:r>
        <w:rPr>
          <w:rFonts w:hint="eastAsia"/>
          <w:spacing w:val="-5"/>
          <w:lang w:val="en-US" w:eastAsia="zh-CN"/>
        </w:rPr>
        <w:t>89</w:t>
      </w:r>
      <w:r>
        <w:rPr>
          <w:rFonts w:ascii="Times New Roman" w:eastAsia="Times New Roman"/>
          <w:spacing w:val="-7"/>
        </w:rPr>
        <w:t>%</w:t>
      </w:r>
      <w:r>
        <w:rPr>
          <w:spacing w:val="-4"/>
        </w:rPr>
        <w:t>，主要耗水单位</w:t>
      </w:r>
      <w:r>
        <w:rPr>
          <w:rFonts w:hint="eastAsia"/>
          <w:spacing w:val="-4"/>
          <w:lang w:eastAsia="zh-CN"/>
        </w:rPr>
        <w:t>是冷却环节。</w:t>
      </w:r>
    </w:p>
    <w:p>
      <w:pPr>
        <w:pStyle w:val="3"/>
        <w:numPr>
          <w:ilvl w:val="1"/>
          <w:numId w:val="12"/>
        </w:numPr>
        <w:tabs>
          <w:tab w:val="left" w:pos="1018"/>
        </w:tabs>
        <w:spacing w:before="51" w:after="0" w:line="240" w:lineRule="auto"/>
        <w:ind w:left="1017" w:right="0" w:hanging="480"/>
        <w:jc w:val="left"/>
      </w:pPr>
      <w:r>
        <w:t>废水产生量及削减措施</w:t>
      </w:r>
    </w:p>
    <w:p>
      <w:pPr>
        <w:pStyle w:val="6"/>
        <w:spacing w:before="10"/>
        <w:rPr>
          <w:rFonts w:ascii="黑体"/>
          <w:b/>
          <w:sz w:val="25"/>
        </w:rPr>
      </w:pPr>
    </w:p>
    <w:p>
      <w:pPr>
        <w:pStyle w:val="4"/>
        <w:numPr>
          <w:ilvl w:val="2"/>
          <w:numId w:val="12"/>
        </w:numPr>
        <w:tabs>
          <w:tab w:val="left" w:pos="1167"/>
        </w:tabs>
        <w:spacing w:before="0" w:after="0" w:line="240" w:lineRule="auto"/>
        <w:ind w:left="1166" w:right="0" w:hanging="629"/>
        <w:jc w:val="left"/>
      </w:pPr>
      <w:r>
        <w:t>废水产生总量及排水所占比例</w:t>
      </w:r>
    </w:p>
    <w:p>
      <w:pPr>
        <w:pStyle w:val="6"/>
        <w:spacing w:before="11"/>
        <w:rPr>
          <w:rFonts w:ascii="仿宋"/>
          <w:b/>
          <w:sz w:val="23"/>
        </w:rPr>
      </w:pPr>
    </w:p>
    <w:p>
      <w:pPr>
        <w:pStyle w:val="6"/>
        <w:spacing w:line="364" w:lineRule="auto"/>
        <w:ind w:left="537" w:right="267" w:firstLine="480"/>
      </w:pPr>
      <w:r>
        <w:rPr>
          <w:spacing w:val="-20"/>
        </w:rPr>
        <w:t xml:space="preserve">公司 </w:t>
      </w:r>
      <w:r>
        <w:rPr>
          <w:rFonts w:ascii="Times New Roman" w:eastAsia="Times New Roman"/>
        </w:rPr>
        <w:t>201</w:t>
      </w:r>
      <w:r>
        <w:rPr>
          <w:rFonts w:hint="eastAsia" w:ascii="Times New Roman"/>
          <w:lang w:val="en-US" w:eastAsia="zh-CN"/>
        </w:rPr>
        <w:t>8</w:t>
      </w:r>
      <w:r>
        <w:rPr>
          <w:rFonts w:ascii="Times New Roman" w:eastAsia="Times New Roman"/>
        </w:rPr>
        <w:t xml:space="preserve"> </w:t>
      </w:r>
      <w:r>
        <w:rPr>
          <w:spacing w:val="-8"/>
        </w:rPr>
        <w:t>年废水产生量为</w:t>
      </w:r>
      <w:r>
        <w:rPr>
          <w:rFonts w:hint="eastAsia"/>
          <w:spacing w:val="-8"/>
          <w:lang w:val="en-US" w:eastAsia="zh-CN"/>
        </w:rPr>
        <w:t>36000</w:t>
      </w:r>
      <w:r>
        <w:rPr>
          <w:spacing w:val="-7"/>
        </w:rPr>
        <w:t>吨，废水排放量为</w:t>
      </w:r>
      <w:r>
        <w:rPr>
          <w:rFonts w:hint="eastAsia"/>
          <w:spacing w:val="-7"/>
          <w:lang w:val="en-US" w:eastAsia="zh-CN"/>
        </w:rPr>
        <w:t>0</w:t>
      </w:r>
      <w:r>
        <w:rPr>
          <w:rFonts w:ascii="Times New Roman" w:eastAsia="Times New Roman"/>
        </w:rPr>
        <w:t xml:space="preserve"> </w:t>
      </w:r>
      <w:r>
        <w:rPr>
          <w:spacing w:val="-3"/>
        </w:rPr>
        <w:t>吨，生产废水无外排</w:t>
      </w:r>
      <w:r>
        <w:t>。</w:t>
      </w:r>
    </w:p>
    <w:p>
      <w:pPr>
        <w:pStyle w:val="4"/>
        <w:numPr>
          <w:ilvl w:val="2"/>
          <w:numId w:val="12"/>
        </w:numPr>
        <w:tabs>
          <w:tab w:val="left" w:pos="1167"/>
        </w:tabs>
        <w:spacing w:before="120" w:after="0" w:line="240" w:lineRule="auto"/>
        <w:ind w:left="1166" w:right="0" w:hanging="629"/>
        <w:jc w:val="left"/>
      </w:pPr>
      <w:r>
        <w:t>废水处理工艺、水质达标情况及排放去向</w:t>
      </w:r>
    </w:p>
    <w:p>
      <w:pPr>
        <w:ind w:firstLine="1100" w:firstLineChars="500"/>
        <w:rPr>
          <w:rFonts w:hint="eastAsia" w:eastAsia="宋体"/>
          <w:lang w:eastAsia="zh-CN"/>
        </w:rPr>
      </w:pPr>
      <w:r>
        <w:rPr>
          <w:rFonts w:hint="eastAsia"/>
          <w:lang w:eastAsia="zh-CN"/>
        </w:rPr>
        <w:t>公司所有生产废水均经处理后循环使用。</w:t>
      </w:r>
    </w:p>
    <w:p>
      <w:pPr>
        <w:pStyle w:val="6"/>
        <w:spacing w:before="10"/>
        <w:rPr>
          <w:rFonts w:ascii="仿宋"/>
          <w:b/>
          <w:sz w:val="23"/>
        </w:rPr>
      </w:pPr>
    </w:p>
    <w:p>
      <w:pPr>
        <w:pStyle w:val="3"/>
        <w:numPr>
          <w:ilvl w:val="1"/>
          <w:numId w:val="13"/>
        </w:numPr>
        <w:tabs>
          <w:tab w:val="left" w:pos="1018"/>
        </w:tabs>
        <w:spacing w:before="49" w:after="0" w:line="240" w:lineRule="auto"/>
        <w:ind w:left="1017" w:right="0" w:hanging="480"/>
        <w:jc w:val="left"/>
      </w:pPr>
      <w:r>
        <w:t>固体废物产生及处理处置情况</w:t>
      </w:r>
    </w:p>
    <w:p>
      <w:pPr>
        <w:pStyle w:val="6"/>
        <w:spacing w:before="12"/>
        <w:rPr>
          <w:rFonts w:ascii="黑体"/>
          <w:b/>
          <w:sz w:val="25"/>
        </w:rPr>
      </w:pPr>
    </w:p>
    <w:p>
      <w:pPr>
        <w:pStyle w:val="4"/>
        <w:numPr>
          <w:ilvl w:val="2"/>
          <w:numId w:val="13"/>
        </w:numPr>
        <w:tabs>
          <w:tab w:val="left" w:pos="1167"/>
        </w:tabs>
        <w:spacing w:before="0" w:after="0" w:line="240" w:lineRule="auto"/>
        <w:ind w:left="1166" w:right="0" w:hanging="629"/>
        <w:jc w:val="left"/>
      </w:pPr>
      <w:r>
        <w:t>产生总量及减量化措施</w:t>
      </w:r>
    </w:p>
    <w:p>
      <w:pPr>
        <w:pStyle w:val="6"/>
        <w:spacing w:before="11"/>
        <w:rPr>
          <w:rFonts w:ascii="仿宋"/>
          <w:b/>
          <w:sz w:val="23"/>
        </w:rPr>
      </w:pPr>
    </w:p>
    <w:p>
      <w:pPr>
        <w:pStyle w:val="6"/>
        <w:spacing w:before="158" w:line="364" w:lineRule="auto"/>
        <w:ind w:left="537" w:right="260"/>
        <w:rPr>
          <w:rFonts w:hint="eastAsia" w:eastAsia="宋体"/>
          <w:lang w:eastAsia="zh-CN"/>
        </w:rPr>
      </w:pPr>
      <w:r>
        <w:rPr>
          <w:spacing w:val="-22"/>
        </w:rPr>
        <w:t>公司</w:t>
      </w:r>
      <w:r>
        <w:rPr>
          <w:rFonts w:hint="eastAsia"/>
          <w:spacing w:val="-22"/>
          <w:lang w:eastAsia="zh-CN"/>
        </w:rPr>
        <w:t>固体废物有两个方面，一是生产环节中的碎玻璃，全不回用；二是生产过程中产生的固体废物，交友市政环卫部门统一处理。</w:t>
      </w:r>
    </w:p>
    <w:p>
      <w:pPr>
        <w:pStyle w:val="4"/>
        <w:numPr>
          <w:ilvl w:val="2"/>
          <w:numId w:val="13"/>
        </w:numPr>
        <w:tabs>
          <w:tab w:val="left" w:pos="1167"/>
        </w:tabs>
        <w:spacing w:before="122" w:after="0" w:line="240" w:lineRule="auto"/>
        <w:ind w:left="1166" w:right="0" w:hanging="629"/>
        <w:jc w:val="left"/>
      </w:pPr>
      <w:r>
        <w:t>综合利用情况及最终处置情况</w:t>
      </w:r>
    </w:p>
    <w:p>
      <w:pPr>
        <w:pStyle w:val="6"/>
        <w:spacing w:before="10"/>
        <w:rPr>
          <w:rFonts w:ascii="仿宋"/>
          <w:b/>
          <w:sz w:val="23"/>
        </w:rPr>
      </w:pPr>
    </w:p>
    <w:p>
      <w:pPr>
        <w:pStyle w:val="6"/>
        <w:spacing w:before="158" w:line="364" w:lineRule="auto"/>
        <w:ind w:left="537" w:right="236"/>
        <w:jc w:val="both"/>
        <w:rPr>
          <w:rFonts w:hint="eastAsia" w:eastAsia="宋体"/>
          <w:lang w:eastAsia="zh-CN"/>
        </w:rPr>
      </w:pPr>
      <w:r>
        <w:t>公司危险废物</w:t>
      </w:r>
      <w:r>
        <w:rPr>
          <w:rFonts w:hint="eastAsia"/>
          <w:lang w:eastAsia="zh-CN"/>
        </w:rPr>
        <w:t>交有合肥远大燃料油有限公司和安徽嘉朋特环保科技有限公司处理处理。</w:t>
      </w:r>
    </w:p>
    <w:p>
      <w:pPr>
        <w:pStyle w:val="4"/>
        <w:numPr>
          <w:ilvl w:val="2"/>
          <w:numId w:val="13"/>
        </w:numPr>
        <w:tabs>
          <w:tab w:val="left" w:pos="1167"/>
        </w:tabs>
        <w:spacing w:before="120" w:after="0" w:line="240" w:lineRule="auto"/>
        <w:ind w:left="1166" w:right="0" w:hanging="629"/>
        <w:jc w:val="left"/>
      </w:pPr>
      <w:r>
        <w:t>相关管理制度情况</w:t>
      </w:r>
    </w:p>
    <w:p>
      <w:pPr>
        <w:pStyle w:val="6"/>
        <w:spacing w:before="10"/>
        <w:rPr>
          <w:rFonts w:ascii="仿宋"/>
          <w:b/>
          <w:sz w:val="23"/>
        </w:rPr>
      </w:pPr>
    </w:p>
    <w:p>
      <w:pPr>
        <w:pStyle w:val="6"/>
        <w:spacing w:before="1" w:line="364" w:lineRule="auto"/>
        <w:ind w:left="520" w:right="164" w:firstLine="376"/>
      </w:pPr>
      <w:r>
        <w:t>对生产及日常生活过程产生的废弃物按照是否有毒有害、是否可回收进行分</w:t>
      </w:r>
      <w:r>
        <w:rPr>
          <w:spacing w:val="-1"/>
        </w:rPr>
        <w:t>类、收集、贮存，回收有价废弃物，合法处理危险废物，安全操作，防止泄漏。</w:t>
      </w:r>
      <w:r>
        <w:rPr>
          <w:spacing w:val="-6"/>
        </w:rPr>
        <w:t>对于无毒无害的生产废弃物，其包装破坏后交由有资质的回收公司处理；对于内</w:t>
      </w:r>
      <w:r>
        <w:rPr>
          <w:spacing w:val="-9"/>
        </w:rPr>
        <w:t>容物，则有选择地交由回收商降级后循环利用；对于原料桶或瓶子，则按市场价格卖给相关回收商处理。</w:t>
      </w:r>
    </w:p>
    <w:p>
      <w:pPr>
        <w:pStyle w:val="3"/>
        <w:numPr>
          <w:ilvl w:val="1"/>
          <w:numId w:val="14"/>
        </w:numPr>
        <w:tabs>
          <w:tab w:val="left" w:pos="1018"/>
        </w:tabs>
        <w:spacing w:before="50" w:after="0" w:line="240" w:lineRule="auto"/>
        <w:ind w:left="1017" w:right="0" w:hanging="480"/>
        <w:jc w:val="left"/>
      </w:pPr>
      <w:r>
        <w:t>危险化学品管理</w:t>
      </w:r>
    </w:p>
    <w:p>
      <w:pPr>
        <w:pStyle w:val="6"/>
        <w:rPr>
          <w:rFonts w:ascii="黑体"/>
          <w:b/>
          <w:sz w:val="26"/>
        </w:rPr>
      </w:pPr>
    </w:p>
    <w:p>
      <w:pPr>
        <w:pStyle w:val="4"/>
        <w:numPr>
          <w:ilvl w:val="2"/>
          <w:numId w:val="14"/>
        </w:numPr>
        <w:tabs>
          <w:tab w:val="left" w:pos="1167"/>
        </w:tabs>
        <w:spacing w:before="0" w:after="0" w:line="240" w:lineRule="auto"/>
        <w:ind w:left="1166" w:right="0" w:hanging="629"/>
        <w:jc w:val="left"/>
      </w:pPr>
      <w:r>
        <w:t>产生、使用和储存情况</w:t>
      </w:r>
    </w:p>
    <w:p>
      <w:pPr>
        <w:pStyle w:val="6"/>
        <w:spacing w:before="10"/>
        <w:rPr>
          <w:rFonts w:ascii="仿宋"/>
          <w:b/>
          <w:sz w:val="23"/>
        </w:rPr>
      </w:pPr>
    </w:p>
    <w:p>
      <w:pPr>
        <w:pStyle w:val="6"/>
        <w:spacing w:line="364" w:lineRule="auto"/>
        <w:ind w:left="537" w:right="236" w:firstLine="480"/>
      </w:pPr>
      <w:r>
        <w:t>依据《危险化学品名录》（</w:t>
      </w:r>
      <w:r>
        <w:rPr>
          <w:rFonts w:ascii="Times New Roman" w:eastAsia="Times New Roman"/>
        </w:rPr>
        <w:t xml:space="preserve">2015 </w:t>
      </w:r>
      <w:r>
        <w:t>年版）进行辨识，公司在生产过程中会使</w:t>
      </w:r>
      <w:r>
        <w:rPr>
          <w:spacing w:val="-10"/>
        </w:rPr>
        <w:t>用到氢氧化钠、天然气、液氧等危险化学品，公司制定《危险化学</w:t>
      </w:r>
      <w:r>
        <w:rPr>
          <w:spacing w:val="-9"/>
        </w:rPr>
        <w:t>品管理标准》对危险化学品的购买、发放、保管进行规范化管理，对危化品储罐</w:t>
      </w:r>
    </w:p>
    <w:p>
      <w:pPr>
        <w:spacing w:after="0" w:line="364" w:lineRule="auto"/>
        <w:sectPr>
          <w:footerReference r:id="rId7" w:type="default"/>
          <w:pgSz w:w="11910" w:h="16840"/>
          <w:pgMar w:top="1360" w:right="1560" w:bottom="740" w:left="1260" w:header="878" w:footer="547" w:gutter="0"/>
        </w:sectPr>
      </w:pPr>
    </w:p>
    <w:p>
      <w:pPr>
        <w:pStyle w:val="6"/>
        <w:spacing w:before="64" w:line="364" w:lineRule="auto"/>
        <w:ind w:left="537" w:right="236"/>
      </w:pPr>
      <w:r>
        <w:rPr>
          <w:spacing w:val="-10"/>
        </w:rPr>
        <w:t>按《危险源点管理办法》进行管理，定期组织危险源点检查，使各类危化品储罐</w:t>
      </w:r>
      <w:r>
        <w:t>处于可控状态。</w:t>
      </w:r>
    </w:p>
    <w:p>
      <w:pPr>
        <w:pStyle w:val="4"/>
        <w:numPr>
          <w:ilvl w:val="2"/>
          <w:numId w:val="14"/>
        </w:numPr>
        <w:tabs>
          <w:tab w:val="left" w:pos="1167"/>
        </w:tabs>
        <w:spacing w:before="119" w:after="0" w:line="240" w:lineRule="auto"/>
        <w:ind w:left="1166" w:right="0" w:hanging="629"/>
        <w:jc w:val="left"/>
      </w:pPr>
      <w:r>
        <w:t>减少危险化学品向环境排放的控制措施</w:t>
      </w:r>
    </w:p>
    <w:p>
      <w:pPr>
        <w:pStyle w:val="6"/>
        <w:spacing w:before="11"/>
        <w:rPr>
          <w:rFonts w:ascii="仿宋"/>
          <w:b/>
          <w:sz w:val="23"/>
        </w:rPr>
      </w:pPr>
    </w:p>
    <w:p>
      <w:pPr>
        <w:pStyle w:val="6"/>
        <w:spacing w:line="364" w:lineRule="auto"/>
        <w:ind w:left="520" w:right="164" w:firstLine="480"/>
        <w:jc w:val="both"/>
      </w:pPr>
      <w:r>
        <w:rPr>
          <w:spacing w:val="-1"/>
        </w:rPr>
        <w:t xml:space="preserve">公司通过加强对生产过程以及生产设备的管理，避免因“跑、冒、滴、漏” </w:t>
      </w:r>
      <w:r>
        <w:rPr>
          <w:spacing w:val="-6"/>
        </w:rPr>
        <w:t>造成的危化品泄露；通过建设危废暂存库，避免危化品向环境间接排放；所有报</w:t>
      </w:r>
      <w:r>
        <w:rPr>
          <w:spacing w:val="-9"/>
        </w:rPr>
        <w:t>废的危险化学品均按照危险废弃物处理，如发生危险化学品泄露，由各区域接受</w:t>
      </w:r>
      <w:r>
        <w:rPr>
          <w:spacing w:val="-12"/>
        </w:rPr>
        <w:t>过危险化学品泄漏处理培训的应急小组人员严格按照《稀贵金属分公司突发环境事件应急预案》执行，有效减少了危化品向环境的排放。</w:t>
      </w:r>
    </w:p>
    <w:p>
      <w:pPr>
        <w:pStyle w:val="3"/>
        <w:numPr>
          <w:ilvl w:val="1"/>
          <w:numId w:val="15"/>
        </w:numPr>
        <w:tabs>
          <w:tab w:val="left" w:pos="1018"/>
        </w:tabs>
        <w:spacing w:before="48" w:after="0" w:line="240" w:lineRule="auto"/>
        <w:ind w:left="1017" w:right="0" w:hanging="480"/>
        <w:jc w:val="left"/>
      </w:pPr>
      <w:r>
        <w:t>噪声污染状况及控制措施</w:t>
      </w:r>
    </w:p>
    <w:p>
      <w:pPr>
        <w:pStyle w:val="6"/>
        <w:spacing w:before="12"/>
        <w:rPr>
          <w:rFonts w:ascii="黑体"/>
          <w:b/>
          <w:sz w:val="25"/>
        </w:rPr>
      </w:pPr>
    </w:p>
    <w:p>
      <w:pPr>
        <w:pStyle w:val="4"/>
        <w:numPr>
          <w:ilvl w:val="2"/>
          <w:numId w:val="15"/>
        </w:numPr>
        <w:tabs>
          <w:tab w:val="left" w:pos="1167"/>
        </w:tabs>
        <w:spacing w:before="0" w:after="0" w:line="240" w:lineRule="auto"/>
        <w:ind w:left="1166" w:right="0" w:hanging="629"/>
        <w:jc w:val="left"/>
      </w:pPr>
      <w:r>
        <w:t>厂界噪声污染状况</w:t>
      </w:r>
    </w:p>
    <w:p>
      <w:pPr>
        <w:pStyle w:val="6"/>
        <w:spacing w:before="11"/>
        <w:rPr>
          <w:rFonts w:ascii="仿宋"/>
          <w:b/>
          <w:sz w:val="23"/>
        </w:rPr>
      </w:pPr>
    </w:p>
    <w:p>
      <w:pPr>
        <w:pStyle w:val="6"/>
        <w:spacing w:line="364" w:lineRule="auto"/>
        <w:ind w:left="537" w:right="116" w:firstLine="480"/>
      </w:pPr>
      <w:r>
        <w:rPr>
          <w:spacing w:val="-4"/>
        </w:rPr>
        <w:t>公司</w:t>
      </w:r>
      <w:r>
        <w:rPr>
          <w:rFonts w:hint="eastAsia"/>
          <w:spacing w:val="-4"/>
          <w:lang w:val="en-US" w:eastAsia="zh-CN"/>
        </w:rPr>
        <w:t>2018年12月和2019年1月两次委托安徽省公众检验研究院有限公司对公司东西厂区开展监测，厂界东南西北四个方位</w:t>
      </w:r>
      <w:r>
        <w:rPr>
          <w:spacing w:val="-5"/>
        </w:rPr>
        <w:t>厂界噪声能达到《工业企业厂界环境噪声排放标准》</w:t>
      </w:r>
      <w:r>
        <w:rPr>
          <w:spacing w:val="-3"/>
        </w:rPr>
        <w:t>（</w:t>
      </w:r>
      <w:r>
        <w:rPr>
          <w:rFonts w:ascii="Times New Roman" w:eastAsia="Times New Roman"/>
          <w:spacing w:val="-3"/>
        </w:rPr>
        <w:t>GB12348-2008</w:t>
      </w:r>
      <w:r>
        <w:rPr>
          <w:spacing w:val="-3"/>
        </w:rPr>
        <w:t xml:space="preserve">） </w:t>
      </w:r>
      <w:r>
        <w:rPr>
          <w:spacing w:val="-31"/>
        </w:rPr>
        <w:t xml:space="preserve">的 </w:t>
      </w:r>
      <w:r>
        <w:rPr>
          <w:rFonts w:ascii="Times New Roman" w:eastAsia="Times New Roman"/>
        </w:rPr>
        <w:t xml:space="preserve">3 </w:t>
      </w:r>
      <w:r>
        <w:rPr>
          <w:spacing w:val="-4"/>
        </w:rPr>
        <w:t xml:space="preserve">类标准的限值要求，噪声监测数据见表 </w:t>
      </w:r>
      <w:r>
        <w:rPr>
          <w:rFonts w:ascii="Times New Roman" w:eastAsia="Times New Roman"/>
        </w:rPr>
        <w:t>5-3</w:t>
      </w:r>
      <w:r>
        <w:t>。</w:t>
      </w:r>
    </w:p>
    <w:p>
      <w:pPr>
        <w:pStyle w:val="4"/>
        <w:numPr>
          <w:ilvl w:val="2"/>
          <w:numId w:val="15"/>
        </w:numPr>
        <w:tabs>
          <w:tab w:val="left" w:pos="1167"/>
        </w:tabs>
        <w:spacing w:before="122" w:after="0" w:line="240" w:lineRule="auto"/>
        <w:ind w:left="1166" w:right="0" w:hanging="629"/>
        <w:jc w:val="left"/>
      </w:pPr>
      <w:r>
        <w:t>采取的主要控制措施</w:t>
      </w:r>
    </w:p>
    <w:p>
      <w:pPr>
        <w:pStyle w:val="6"/>
        <w:spacing w:before="10"/>
        <w:rPr>
          <w:rFonts w:ascii="仿宋"/>
          <w:b/>
          <w:sz w:val="23"/>
        </w:rPr>
      </w:pPr>
    </w:p>
    <w:p>
      <w:pPr>
        <w:pStyle w:val="6"/>
        <w:spacing w:line="364" w:lineRule="auto"/>
        <w:ind w:left="520" w:right="236" w:firstLine="480"/>
        <w:jc w:val="both"/>
      </w:pPr>
      <w:r>
        <w:rPr>
          <w:spacing w:val="-5"/>
        </w:rPr>
        <w:t>公司在购买设备的同时就将噪音作为选择的一个条件，无噪音或少噪音优先</w:t>
      </w:r>
      <w:r>
        <w:rPr>
          <w:spacing w:val="-9"/>
        </w:rPr>
        <w:t>考虑；对于已有的噪声源，在其周围建造隔离设施，加强定期监测，以避免对社</w:t>
      </w:r>
      <w:r>
        <w:rPr>
          <w:spacing w:val="-7"/>
        </w:rPr>
        <w:t>区居民造成影响。与当地环保部门和社区居民建立了良好的沟通机制，按法律法</w:t>
      </w:r>
      <w:r>
        <w:t>规要求进行各项监测。</w:t>
      </w:r>
    </w:p>
    <w:p>
      <w:pPr>
        <w:spacing w:after="0" w:line="364" w:lineRule="auto"/>
        <w:jc w:val="both"/>
        <w:sectPr>
          <w:pgSz w:w="11910" w:h="16840"/>
          <w:pgMar w:top="1360" w:right="1560" w:bottom="740" w:left="1260" w:header="878" w:footer="547" w:gutter="0"/>
        </w:sectPr>
      </w:pPr>
    </w:p>
    <w:p>
      <w:pPr>
        <w:pStyle w:val="2"/>
        <w:spacing w:before="65"/>
        <w:ind w:left="1826"/>
      </w:pPr>
      <w:r>
        <w:t>六、与社会及利益相关者关系</w:t>
      </w:r>
    </w:p>
    <w:p>
      <w:pPr>
        <w:pStyle w:val="6"/>
        <w:spacing w:before="5"/>
        <w:rPr>
          <w:b/>
          <w:sz w:val="41"/>
        </w:rPr>
      </w:pPr>
    </w:p>
    <w:p>
      <w:pPr>
        <w:pStyle w:val="3"/>
        <w:numPr>
          <w:ilvl w:val="1"/>
          <w:numId w:val="16"/>
        </w:numPr>
        <w:tabs>
          <w:tab w:val="left" w:pos="1018"/>
        </w:tabs>
        <w:spacing w:before="1" w:after="0" w:line="240" w:lineRule="auto"/>
        <w:ind w:left="1017" w:right="0" w:hanging="480"/>
        <w:jc w:val="left"/>
      </w:pPr>
      <w:r>
        <w:t>与员工的关系</w:t>
      </w:r>
    </w:p>
    <w:p>
      <w:pPr>
        <w:pStyle w:val="6"/>
        <w:spacing w:before="262" w:line="374" w:lineRule="auto"/>
        <w:ind w:left="520" w:right="236" w:firstLine="482"/>
        <w:jc w:val="both"/>
      </w:pPr>
      <w:r>
        <w:rPr>
          <w:spacing w:val="-4"/>
        </w:rPr>
        <w:t>根据职业暴露浓度定期选择符合行业标准的个人防护用品，对接触职业危害</w:t>
      </w:r>
      <w:r>
        <w:rPr>
          <w:spacing w:val="-3"/>
        </w:rPr>
        <w:t>因素的人员进行培训，定期对车间职业危害因素</w:t>
      </w:r>
      <w:r>
        <w:t>（噪音</w:t>
      </w:r>
      <w:r>
        <w:rPr>
          <w:spacing w:val="-17"/>
        </w:rPr>
        <w:t>）</w:t>
      </w:r>
      <w:r>
        <w:rPr>
          <w:spacing w:val="-6"/>
        </w:rPr>
        <w:t>监测，如有新项目会进</w:t>
      </w:r>
      <w:r>
        <w:t>行监测、风险评估以掌控了解员工的暴露情况。</w:t>
      </w:r>
    </w:p>
    <w:p>
      <w:pPr>
        <w:pStyle w:val="6"/>
        <w:spacing w:before="5"/>
      </w:pPr>
    </w:p>
    <w:p>
      <w:pPr>
        <w:pStyle w:val="3"/>
        <w:numPr>
          <w:ilvl w:val="1"/>
          <w:numId w:val="16"/>
        </w:numPr>
        <w:tabs>
          <w:tab w:val="left" w:pos="1018"/>
        </w:tabs>
        <w:spacing w:before="0" w:after="0" w:line="240" w:lineRule="auto"/>
        <w:ind w:left="1017" w:right="0" w:hanging="480"/>
        <w:jc w:val="left"/>
      </w:pPr>
      <w:r>
        <w:t>与公众的关系</w:t>
      </w:r>
    </w:p>
    <w:p>
      <w:pPr>
        <w:pStyle w:val="6"/>
        <w:rPr>
          <w:rFonts w:ascii="黑体"/>
          <w:b/>
          <w:sz w:val="26"/>
        </w:rPr>
      </w:pPr>
    </w:p>
    <w:p>
      <w:pPr>
        <w:pStyle w:val="4"/>
        <w:numPr>
          <w:ilvl w:val="2"/>
          <w:numId w:val="16"/>
        </w:numPr>
        <w:tabs>
          <w:tab w:val="left" w:pos="1167"/>
        </w:tabs>
        <w:spacing w:before="0" w:after="0" w:line="240" w:lineRule="auto"/>
        <w:ind w:left="1166" w:right="0" w:hanging="629"/>
        <w:jc w:val="left"/>
      </w:pPr>
      <w:r>
        <w:t>企业参与所在地区环境保护的方针及计划</w:t>
      </w:r>
    </w:p>
    <w:p>
      <w:pPr>
        <w:pStyle w:val="6"/>
        <w:spacing w:before="10"/>
        <w:rPr>
          <w:rFonts w:ascii="仿宋"/>
          <w:b/>
          <w:sz w:val="23"/>
        </w:rPr>
      </w:pPr>
    </w:p>
    <w:p>
      <w:pPr>
        <w:pStyle w:val="6"/>
        <w:spacing w:before="1" w:line="362" w:lineRule="auto"/>
        <w:ind w:left="537" w:right="387" w:firstLine="480"/>
      </w:pPr>
      <w:r>
        <w:t>公司积极响应安徽省环保厅、</w:t>
      </w:r>
      <w:r>
        <w:rPr>
          <w:rFonts w:hint="eastAsia"/>
          <w:lang w:eastAsia="zh-CN"/>
        </w:rPr>
        <w:t>淮南</w:t>
      </w:r>
      <w:r>
        <w:t>市环境保护局制定的环境保护方针和计划，并给予充分配合。</w:t>
      </w:r>
    </w:p>
    <w:p>
      <w:pPr>
        <w:pStyle w:val="4"/>
        <w:numPr>
          <w:ilvl w:val="2"/>
          <w:numId w:val="16"/>
        </w:numPr>
        <w:tabs>
          <w:tab w:val="left" w:pos="1167"/>
        </w:tabs>
        <w:spacing w:before="125" w:after="0" w:line="240" w:lineRule="auto"/>
        <w:ind w:left="1166" w:right="0" w:hanging="629"/>
        <w:jc w:val="left"/>
      </w:pPr>
      <w:r>
        <w:t>与社会的关系</w:t>
      </w:r>
    </w:p>
    <w:p>
      <w:pPr>
        <w:pStyle w:val="6"/>
        <w:spacing w:before="11"/>
        <w:rPr>
          <w:rFonts w:ascii="仿宋"/>
          <w:b/>
          <w:sz w:val="23"/>
        </w:rPr>
      </w:pPr>
    </w:p>
    <w:p>
      <w:pPr>
        <w:pStyle w:val="6"/>
        <w:spacing w:line="364" w:lineRule="auto"/>
        <w:ind w:left="520" w:right="236" w:firstLine="480"/>
        <w:jc w:val="both"/>
      </w:pPr>
      <w:r>
        <w:rPr>
          <w:spacing w:val="-5"/>
        </w:rPr>
        <w:t>个体的力量也许微不足道，但是</w:t>
      </w:r>
      <w:r>
        <w:rPr>
          <w:rFonts w:hint="eastAsia"/>
          <w:spacing w:val="-5"/>
          <w:lang w:eastAsia="zh-CN"/>
        </w:rPr>
        <w:t>发强公司</w:t>
      </w:r>
      <w:r>
        <w:rPr>
          <w:spacing w:val="-5"/>
        </w:rPr>
        <w:t>公司相信，只要每个企业、每个</w:t>
      </w:r>
      <w:r>
        <w:rPr>
          <w:spacing w:val="-7"/>
        </w:rPr>
        <w:t>公民都行动起来，就一定能给我们的环境带来更为深远的影响和改变，真正实现</w:t>
      </w:r>
      <w:r>
        <w:rPr>
          <w:spacing w:val="-8"/>
        </w:rPr>
        <w:t>可持续发展。正是秉承这种责任意识，公司努力践行环保责任，并取得了卓越的</w:t>
      </w:r>
      <w:r>
        <w:t>成就。</w:t>
      </w:r>
    </w:p>
    <w:sectPr>
      <w:pgSz w:w="11910" w:h="16840"/>
      <w:pgMar w:top="1360" w:right="1560" w:bottom="740" w:left="1260" w:header="878" w:footer="54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4102" o:spid="_x0000_s4102" o:spt="202" type="#_x0000_t202" style="position:absolute;left:0pt;margin-left:293.4pt;margin-top:803.65pt;height:17.15pt;width:8.5pt;mso-position-horizontal-relative:page;mso-position-vertical-relative:page;z-index:-44032;mso-width-relative:page;mso-height-relative:page;" filled="f" stroked="f" coordsize="21600,21600">
          <v:path/>
          <v:fill on="f" focussize="0,0"/>
          <v:stroke on="f" joinstyle="miter"/>
          <v:imagedata o:title=""/>
          <o:lock v:ext="edit"/>
          <v:textbox inset="0mm,0mm,0mm,0mm">
            <w:txbxContent>
              <w:p>
                <w:pPr>
                  <w:spacing w:before="115"/>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4097" o:spid="_x0000_s4097" o:spt="202" type="#_x0000_t202" style="position:absolute;left:0pt;margin-left:293.4pt;margin-top:803.65pt;height:17.15pt;width:8.5pt;mso-position-horizontal-relative:page;mso-position-vertical-relative:page;z-index:-44032;mso-width-relative:page;mso-height-relative:page;" filled="f" stroked="f" coordsize="21600,21600">
          <v:path/>
          <v:fill on="f" focussize="0,0"/>
          <v:stroke on="f" joinstyle="miter"/>
          <v:imagedata o:title=""/>
          <o:lock v:ext="edit"/>
          <v:textbox inset="0mm,0mm,0mm,0mm">
            <w:txbxContent>
              <w:p>
                <w:pPr>
                  <w:spacing w:before="115"/>
                  <w:ind w:left="40" w:right="0" w:firstLine="0"/>
                  <w:jc w:val="left"/>
                  <w:rPr>
                    <w:rFonts w:ascii="Times New Roman"/>
                    <w:sz w:val="18"/>
                  </w:rPr>
                </w:pPr>
                <w:r>
                  <w:fldChar w:fldCharType="begin"/>
                </w:r>
                <w:r>
                  <w:rPr>
                    <w:rFonts w:ascii="Times New Roman"/>
                    <w:sz w:val="18"/>
                  </w:rPr>
                  <w:instrText xml:space="preserve"> PAGE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4100" o:spid="_x0000_s4100" o:spt="202" type="#_x0000_t202" style="position:absolute;left:0pt;margin-left:291.15pt;margin-top:803.65pt;height:12pt;width:13.1pt;mso-position-horizontal-relative:page;mso-position-vertical-relative:page;z-index:-4300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shape id="_x0000_s4101" o:spid="_x0000_s4101" o:spt="202" type="#_x0000_t202" style="position:absolute;left:0pt;margin-left:291.15pt;margin-top:803.65pt;height:12pt;width:13.1pt;mso-position-horizontal-relative:page;mso-position-vertical-relative:page;z-index:-43008;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20</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w:pict>
        <v:line id="_x0000_s4098" o:spid="_x0000_s4098" o:spt="20" style="position:absolute;left:0pt;margin-left:89.8pt;margin-top:55.35pt;height:0pt;width:415.65pt;mso-position-horizontal-relative:page;mso-position-vertical-relative:page;z-index:-44032;mso-width-relative:page;mso-height-relative:page;" stroked="t" coordsize="21600,21600">
          <v:path arrowok="t"/>
          <v:fill focussize="0,0"/>
          <v:stroke weight="0.48pt" color="#000000"/>
          <v:imagedata o:title=""/>
          <o:lock v:ext="edit"/>
        </v:line>
      </w:pict>
    </w:r>
    <w:r>
      <w:pict>
        <v:shape id="_x0000_s4099" o:spid="_x0000_s4099" o:spt="202" type="#_x0000_t202" style="position:absolute;left:0pt;margin-left:179.6pt;margin-top:42.9pt;height:11pt;width:236pt;mso-position-horizontal-relative:page;mso-position-vertical-relative:page;z-index:-4403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铜陵有色金属集团股份有限公司稀贵金属分公司环境报告书</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tentative="0">
      <w:start w:val="4"/>
      <w:numFmt w:val="decimal"/>
      <w:lvlText w:val="（%1）"/>
      <w:lvlJc w:val="left"/>
      <w:pPr>
        <w:ind w:left="537" w:hanging="601"/>
        <w:jc w:val="left"/>
      </w:pPr>
      <w:rPr>
        <w:rFonts w:hint="default" w:ascii="宋体" w:hAnsi="宋体" w:eastAsia="宋体" w:cs="宋体"/>
        <w:spacing w:val="-15"/>
        <w:w w:val="100"/>
        <w:sz w:val="22"/>
        <w:szCs w:val="22"/>
        <w:lang w:val="zh-CN" w:eastAsia="zh-CN" w:bidi="zh-CN"/>
      </w:rPr>
    </w:lvl>
    <w:lvl w:ilvl="1" w:tentative="0">
      <w:start w:val="0"/>
      <w:numFmt w:val="bullet"/>
      <w:lvlText w:val="•"/>
      <w:lvlJc w:val="left"/>
      <w:pPr>
        <w:ind w:left="1394" w:hanging="601"/>
      </w:pPr>
      <w:rPr>
        <w:rFonts w:hint="default"/>
        <w:lang w:val="zh-CN" w:eastAsia="zh-CN" w:bidi="zh-CN"/>
      </w:rPr>
    </w:lvl>
    <w:lvl w:ilvl="2" w:tentative="0">
      <w:start w:val="0"/>
      <w:numFmt w:val="bullet"/>
      <w:lvlText w:val="•"/>
      <w:lvlJc w:val="left"/>
      <w:pPr>
        <w:ind w:left="2249" w:hanging="601"/>
      </w:pPr>
      <w:rPr>
        <w:rFonts w:hint="default"/>
        <w:lang w:val="zh-CN" w:eastAsia="zh-CN" w:bidi="zh-CN"/>
      </w:rPr>
    </w:lvl>
    <w:lvl w:ilvl="3" w:tentative="0">
      <w:start w:val="0"/>
      <w:numFmt w:val="bullet"/>
      <w:lvlText w:val="•"/>
      <w:lvlJc w:val="left"/>
      <w:pPr>
        <w:ind w:left="3104" w:hanging="601"/>
      </w:pPr>
      <w:rPr>
        <w:rFonts w:hint="default"/>
        <w:lang w:val="zh-CN" w:eastAsia="zh-CN" w:bidi="zh-CN"/>
      </w:rPr>
    </w:lvl>
    <w:lvl w:ilvl="4" w:tentative="0">
      <w:start w:val="0"/>
      <w:numFmt w:val="bullet"/>
      <w:lvlText w:val="•"/>
      <w:lvlJc w:val="left"/>
      <w:pPr>
        <w:ind w:left="3958" w:hanging="601"/>
      </w:pPr>
      <w:rPr>
        <w:rFonts w:hint="default"/>
        <w:lang w:val="zh-CN" w:eastAsia="zh-CN" w:bidi="zh-CN"/>
      </w:rPr>
    </w:lvl>
    <w:lvl w:ilvl="5" w:tentative="0">
      <w:start w:val="0"/>
      <w:numFmt w:val="bullet"/>
      <w:lvlText w:val="•"/>
      <w:lvlJc w:val="left"/>
      <w:pPr>
        <w:ind w:left="4813" w:hanging="601"/>
      </w:pPr>
      <w:rPr>
        <w:rFonts w:hint="default"/>
        <w:lang w:val="zh-CN" w:eastAsia="zh-CN" w:bidi="zh-CN"/>
      </w:rPr>
    </w:lvl>
    <w:lvl w:ilvl="6" w:tentative="0">
      <w:start w:val="0"/>
      <w:numFmt w:val="bullet"/>
      <w:lvlText w:val="•"/>
      <w:lvlJc w:val="left"/>
      <w:pPr>
        <w:ind w:left="5668" w:hanging="601"/>
      </w:pPr>
      <w:rPr>
        <w:rFonts w:hint="default"/>
        <w:lang w:val="zh-CN" w:eastAsia="zh-CN" w:bidi="zh-CN"/>
      </w:rPr>
    </w:lvl>
    <w:lvl w:ilvl="7" w:tentative="0">
      <w:start w:val="0"/>
      <w:numFmt w:val="bullet"/>
      <w:lvlText w:val="•"/>
      <w:lvlJc w:val="left"/>
      <w:pPr>
        <w:ind w:left="6522" w:hanging="601"/>
      </w:pPr>
      <w:rPr>
        <w:rFonts w:hint="default"/>
        <w:lang w:val="zh-CN" w:eastAsia="zh-CN" w:bidi="zh-CN"/>
      </w:rPr>
    </w:lvl>
    <w:lvl w:ilvl="8" w:tentative="0">
      <w:start w:val="0"/>
      <w:numFmt w:val="bullet"/>
      <w:lvlText w:val="•"/>
      <w:lvlJc w:val="left"/>
      <w:pPr>
        <w:ind w:left="7377" w:hanging="601"/>
      </w:pPr>
      <w:rPr>
        <w:rFonts w:hint="default"/>
        <w:lang w:val="zh-CN" w:eastAsia="zh-CN" w:bidi="zh-CN"/>
      </w:rPr>
    </w:lvl>
  </w:abstractNum>
  <w:abstractNum w:abstractNumId="1">
    <w:nsid w:val="B5E306ED"/>
    <w:multiLevelType w:val="multilevel"/>
    <w:tmpl w:val="B5E306ED"/>
    <w:lvl w:ilvl="0" w:tentative="0">
      <w:start w:val="3"/>
      <w:numFmt w:val="decimal"/>
      <w:lvlText w:val="%1"/>
      <w:lvlJc w:val="left"/>
      <w:pPr>
        <w:ind w:left="1166" w:hanging="629"/>
        <w:jc w:val="left"/>
      </w:pPr>
      <w:rPr>
        <w:rFonts w:hint="default"/>
        <w:lang w:val="zh-CN" w:eastAsia="zh-CN" w:bidi="zh-CN"/>
      </w:rPr>
    </w:lvl>
    <w:lvl w:ilvl="1" w:tentative="0">
      <w:start w:val="3"/>
      <w:numFmt w:val="decimal"/>
      <w:lvlText w:val="%1.%2"/>
      <w:lvlJc w:val="left"/>
      <w:pPr>
        <w:ind w:left="1166" w:hanging="629"/>
        <w:jc w:val="left"/>
      </w:pPr>
      <w:rPr>
        <w:rFonts w:hint="default"/>
        <w:lang w:val="zh-CN" w:eastAsia="zh-CN" w:bidi="zh-CN"/>
      </w:rPr>
    </w:lvl>
    <w:lvl w:ilvl="2" w:tentative="0">
      <w:start w:val="2"/>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3538" w:hanging="629"/>
      </w:pPr>
      <w:rPr>
        <w:rFonts w:hint="default"/>
        <w:lang w:val="zh-CN" w:eastAsia="zh-CN" w:bidi="zh-CN"/>
      </w:rPr>
    </w:lvl>
    <w:lvl w:ilvl="4" w:tentative="0">
      <w:start w:val="0"/>
      <w:numFmt w:val="bullet"/>
      <w:lvlText w:val="•"/>
      <w:lvlJc w:val="left"/>
      <w:pPr>
        <w:ind w:left="4330" w:hanging="629"/>
      </w:pPr>
      <w:rPr>
        <w:rFonts w:hint="default"/>
        <w:lang w:val="zh-CN" w:eastAsia="zh-CN" w:bidi="zh-CN"/>
      </w:rPr>
    </w:lvl>
    <w:lvl w:ilvl="5" w:tentative="0">
      <w:start w:val="0"/>
      <w:numFmt w:val="bullet"/>
      <w:lvlText w:val="•"/>
      <w:lvlJc w:val="left"/>
      <w:pPr>
        <w:ind w:left="5123" w:hanging="629"/>
      </w:pPr>
      <w:rPr>
        <w:rFonts w:hint="default"/>
        <w:lang w:val="zh-CN" w:eastAsia="zh-CN" w:bidi="zh-CN"/>
      </w:rPr>
    </w:lvl>
    <w:lvl w:ilvl="6" w:tentative="0">
      <w:start w:val="0"/>
      <w:numFmt w:val="bullet"/>
      <w:lvlText w:val="•"/>
      <w:lvlJc w:val="left"/>
      <w:pPr>
        <w:ind w:left="5916" w:hanging="629"/>
      </w:pPr>
      <w:rPr>
        <w:rFonts w:hint="default"/>
        <w:lang w:val="zh-CN" w:eastAsia="zh-CN" w:bidi="zh-CN"/>
      </w:rPr>
    </w:lvl>
    <w:lvl w:ilvl="7" w:tentative="0">
      <w:start w:val="0"/>
      <w:numFmt w:val="bullet"/>
      <w:lvlText w:val="•"/>
      <w:lvlJc w:val="left"/>
      <w:pPr>
        <w:ind w:left="6708" w:hanging="629"/>
      </w:pPr>
      <w:rPr>
        <w:rFonts w:hint="default"/>
        <w:lang w:val="zh-CN" w:eastAsia="zh-CN" w:bidi="zh-CN"/>
      </w:rPr>
    </w:lvl>
    <w:lvl w:ilvl="8" w:tentative="0">
      <w:start w:val="0"/>
      <w:numFmt w:val="bullet"/>
      <w:lvlText w:val="•"/>
      <w:lvlJc w:val="left"/>
      <w:pPr>
        <w:ind w:left="7501" w:hanging="629"/>
      </w:pPr>
      <w:rPr>
        <w:rFonts w:hint="default"/>
        <w:lang w:val="zh-CN" w:eastAsia="zh-CN" w:bidi="zh-CN"/>
      </w:rPr>
    </w:lvl>
  </w:abstractNum>
  <w:abstractNum w:abstractNumId="2">
    <w:nsid w:val="BF205925"/>
    <w:multiLevelType w:val="multilevel"/>
    <w:tmpl w:val="BF205925"/>
    <w:lvl w:ilvl="0" w:tentative="0">
      <w:start w:val="3"/>
      <w:numFmt w:val="decimal"/>
      <w:lvlText w:val="%1"/>
      <w:lvlJc w:val="left"/>
      <w:pPr>
        <w:ind w:left="1017" w:hanging="480"/>
        <w:jc w:val="left"/>
      </w:pPr>
      <w:rPr>
        <w:rFonts w:hint="default"/>
        <w:lang w:val="zh-CN" w:eastAsia="zh-CN" w:bidi="zh-CN"/>
      </w:rPr>
    </w:lvl>
    <w:lvl w:ilvl="1" w:tentative="0">
      <w:start w:val="2"/>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1"/>
      <w:numFmt w:val="decimal"/>
      <w:lvlText w:val="（%4）"/>
      <w:lvlJc w:val="left"/>
      <w:pPr>
        <w:ind w:left="1618" w:hanging="601"/>
        <w:jc w:val="left"/>
      </w:pPr>
      <w:rPr>
        <w:rFonts w:hint="default" w:ascii="宋体" w:hAnsi="宋体" w:eastAsia="宋体" w:cs="宋体"/>
        <w:w w:val="100"/>
        <w:sz w:val="22"/>
        <w:szCs w:val="22"/>
        <w:lang w:val="zh-CN" w:eastAsia="zh-CN" w:bidi="zh-CN"/>
      </w:rPr>
    </w:lvl>
    <w:lvl w:ilvl="4" w:tentative="0">
      <w:start w:val="0"/>
      <w:numFmt w:val="bullet"/>
      <w:lvlText w:val="•"/>
      <w:lvlJc w:val="left"/>
      <w:pPr>
        <w:ind w:left="3486" w:hanging="601"/>
      </w:pPr>
      <w:rPr>
        <w:rFonts w:hint="default"/>
        <w:lang w:val="zh-CN" w:eastAsia="zh-CN" w:bidi="zh-CN"/>
      </w:rPr>
    </w:lvl>
    <w:lvl w:ilvl="5" w:tentative="0">
      <w:start w:val="0"/>
      <w:numFmt w:val="bullet"/>
      <w:lvlText w:val="•"/>
      <w:lvlJc w:val="left"/>
      <w:pPr>
        <w:ind w:left="4420" w:hanging="601"/>
      </w:pPr>
      <w:rPr>
        <w:rFonts w:hint="default"/>
        <w:lang w:val="zh-CN" w:eastAsia="zh-CN" w:bidi="zh-CN"/>
      </w:rPr>
    </w:lvl>
    <w:lvl w:ilvl="6" w:tentative="0">
      <w:start w:val="0"/>
      <w:numFmt w:val="bullet"/>
      <w:lvlText w:val="•"/>
      <w:lvlJc w:val="left"/>
      <w:pPr>
        <w:ind w:left="5353" w:hanging="601"/>
      </w:pPr>
      <w:rPr>
        <w:rFonts w:hint="default"/>
        <w:lang w:val="zh-CN" w:eastAsia="zh-CN" w:bidi="zh-CN"/>
      </w:rPr>
    </w:lvl>
    <w:lvl w:ilvl="7" w:tentative="0">
      <w:start w:val="0"/>
      <w:numFmt w:val="bullet"/>
      <w:lvlText w:val="•"/>
      <w:lvlJc w:val="left"/>
      <w:pPr>
        <w:ind w:left="6286" w:hanging="601"/>
      </w:pPr>
      <w:rPr>
        <w:rFonts w:hint="default"/>
        <w:lang w:val="zh-CN" w:eastAsia="zh-CN" w:bidi="zh-CN"/>
      </w:rPr>
    </w:lvl>
    <w:lvl w:ilvl="8" w:tentative="0">
      <w:start w:val="0"/>
      <w:numFmt w:val="bullet"/>
      <w:lvlText w:val="•"/>
      <w:lvlJc w:val="left"/>
      <w:pPr>
        <w:ind w:left="7220" w:hanging="601"/>
      </w:pPr>
      <w:rPr>
        <w:rFonts w:hint="default"/>
        <w:lang w:val="zh-CN" w:eastAsia="zh-CN" w:bidi="zh-CN"/>
      </w:rPr>
    </w:lvl>
  </w:abstractNum>
  <w:abstractNum w:abstractNumId="3">
    <w:nsid w:val="C8879AEF"/>
    <w:multiLevelType w:val="multilevel"/>
    <w:tmpl w:val="C8879AEF"/>
    <w:lvl w:ilvl="0" w:tentative="0">
      <w:start w:val="5"/>
      <w:numFmt w:val="decimal"/>
      <w:lvlText w:val="%1"/>
      <w:lvlJc w:val="left"/>
      <w:pPr>
        <w:ind w:left="1017" w:hanging="480"/>
        <w:jc w:val="left"/>
      </w:pPr>
      <w:rPr>
        <w:rFonts w:hint="default"/>
        <w:lang w:val="zh-CN" w:eastAsia="zh-CN" w:bidi="zh-CN"/>
      </w:rPr>
    </w:lvl>
    <w:lvl w:ilvl="1" w:tentative="0">
      <w:start w:val="6"/>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4">
    <w:nsid w:val="CF092B84"/>
    <w:multiLevelType w:val="multilevel"/>
    <w:tmpl w:val="CF092B84"/>
    <w:lvl w:ilvl="0" w:tentative="0">
      <w:start w:val="2"/>
      <w:numFmt w:val="decimal"/>
      <w:lvlText w:val="%1"/>
      <w:lvlJc w:val="left"/>
      <w:pPr>
        <w:ind w:left="1017" w:hanging="480"/>
        <w:jc w:val="left"/>
      </w:pPr>
      <w:rPr>
        <w:rFonts w:hint="default"/>
        <w:lang w:val="zh-CN" w:eastAsia="zh-CN" w:bidi="zh-CN"/>
      </w:rPr>
    </w:lvl>
    <w:lvl w:ilvl="1" w:tentative="0">
      <w:start w:val="2"/>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5">
    <w:nsid w:val="F4B5D9F5"/>
    <w:multiLevelType w:val="multilevel"/>
    <w:tmpl w:val="F4B5D9F5"/>
    <w:lvl w:ilvl="0" w:tentative="0">
      <w:start w:val="5"/>
      <w:numFmt w:val="decimal"/>
      <w:lvlText w:val="%1"/>
      <w:lvlJc w:val="left"/>
      <w:pPr>
        <w:ind w:left="1017" w:hanging="480"/>
        <w:jc w:val="left"/>
      </w:pPr>
      <w:rPr>
        <w:rFonts w:hint="default"/>
        <w:lang w:val="zh-CN" w:eastAsia="zh-CN" w:bidi="zh-CN"/>
      </w:rPr>
    </w:lvl>
    <w:lvl w:ilvl="1" w:tentative="0">
      <w:start w:val="8"/>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6">
    <w:nsid w:val="0053208E"/>
    <w:multiLevelType w:val="multilevel"/>
    <w:tmpl w:val="0053208E"/>
    <w:lvl w:ilvl="0" w:tentative="0">
      <w:start w:val="2"/>
      <w:numFmt w:val="decimal"/>
      <w:lvlText w:val="%1"/>
      <w:lvlJc w:val="left"/>
      <w:pPr>
        <w:ind w:left="1017" w:hanging="480"/>
        <w:jc w:val="left"/>
      </w:pPr>
      <w:rPr>
        <w:rFonts w:hint="default"/>
        <w:lang w:val="zh-CN" w:eastAsia="zh-CN" w:bidi="zh-CN"/>
      </w:rPr>
    </w:lvl>
    <w:lvl w:ilvl="1" w:tentative="0">
      <w:start w:val="1"/>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7">
    <w:nsid w:val="0248C179"/>
    <w:multiLevelType w:val="multilevel"/>
    <w:tmpl w:val="0248C179"/>
    <w:lvl w:ilvl="0" w:tentative="0">
      <w:start w:val="5"/>
      <w:numFmt w:val="decimal"/>
      <w:lvlText w:val="%1"/>
      <w:lvlJc w:val="left"/>
      <w:pPr>
        <w:ind w:left="1017" w:hanging="480"/>
        <w:jc w:val="left"/>
      </w:pPr>
      <w:rPr>
        <w:rFonts w:hint="default"/>
        <w:lang w:val="zh-CN" w:eastAsia="zh-CN" w:bidi="zh-CN"/>
      </w:rPr>
    </w:lvl>
    <w:lvl w:ilvl="1" w:tentative="0">
      <w:start w:val="2"/>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1"/>
      <w:numFmt w:val="decimal"/>
      <w:lvlText w:val="（%4）"/>
      <w:lvlJc w:val="left"/>
      <w:pPr>
        <w:ind w:left="537" w:hanging="601"/>
        <w:jc w:val="left"/>
      </w:pPr>
      <w:rPr>
        <w:rFonts w:hint="default" w:ascii="宋体" w:hAnsi="宋体" w:eastAsia="宋体" w:cs="宋体"/>
        <w:spacing w:val="-10"/>
        <w:w w:val="100"/>
        <w:sz w:val="22"/>
        <w:szCs w:val="22"/>
        <w:lang w:val="zh-CN" w:eastAsia="zh-CN" w:bidi="zh-CN"/>
      </w:rPr>
    </w:lvl>
    <w:lvl w:ilvl="4" w:tentative="0">
      <w:start w:val="0"/>
      <w:numFmt w:val="bullet"/>
      <w:lvlText w:val="•"/>
      <w:lvlJc w:val="left"/>
      <w:pPr>
        <w:ind w:left="3141" w:hanging="601"/>
      </w:pPr>
      <w:rPr>
        <w:rFonts w:hint="default"/>
        <w:lang w:val="zh-CN" w:eastAsia="zh-CN" w:bidi="zh-CN"/>
      </w:rPr>
    </w:lvl>
    <w:lvl w:ilvl="5" w:tentative="0">
      <w:start w:val="0"/>
      <w:numFmt w:val="bullet"/>
      <w:lvlText w:val="•"/>
      <w:lvlJc w:val="left"/>
      <w:pPr>
        <w:ind w:left="4132" w:hanging="601"/>
      </w:pPr>
      <w:rPr>
        <w:rFonts w:hint="default"/>
        <w:lang w:val="zh-CN" w:eastAsia="zh-CN" w:bidi="zh-CN"/>
      </w:rPr>
    </w:lvl>
    <w:lvl w:ilvl="6" w:tentative="0">
      <w:start w:val="0"/>
      <w:numFmt w:val="bullet"/>
      <w:lvlText w:val="•"/>
      <w:lvlJc w:val="left"/>
      <w:pPr>
        <w:ind w:left="5123" w:hanging="601"/>
      </w:pPr>
      <w:rPr>
        <w:rFonts w:hint="default"/>
        <w:lang w:val="zh-CN" w:eastAsia="zh-CN" w:bidi="zh-CN"/>
      </w:rPr>
    </w:lvl>
    <w:lvl w:ilvl="7" w:tentative="0">
      <w:start w:val="0"/>
      <w:numFmt w:val="bullet"/>
      <w:lvlText w:val="•"/>
      <w:lvlJc w:val="left"/>
      <w:pPr>
        <w:ind w:left="6114" w:hanging="601"/>
      </w:pPr>
      <w:rPr>
        <w:rFonts w:hint="default"/>
        <w:lang w:val="zh-CN" w:eastAsia="zh-CN" w:bidi="zh-CN"/>
      </w:rPr>
    </w:lvl>
    <w:lvl w:ilvl="8" w:tentative="0">
      <w:start w:val="0"/>
      <w:numFmt w:val="bullet"/>
      <w:lvlText w:val="•"/>
      <w:lvlJc w:val="left"/>
      <w:pPr>
        <w:ind w:left="7105" w:hanging="601"/>
      </w:pPr>
      <w:rPr>
        <w:rFonts w:hint="default"/>
        <w:lang w:val="zh-CN" w:eastAsia="zh-CN" w:bidi="zh-CN"/>
      </w:rPr>
    </w:lvl>
  </w:abstractNum>
  <w:abstractNum w:abstractNumId="8">
    <w:nsid w:val="03D62ECE"/>
    <w:multiLevelType w:val="multilevel"/>
    <w:tmpl w:val="03D62ECE"/>
    <w:lvl w:ilvl="0" w:tentative="0">
      <w:start w:val="4"/>
      <w:numFmt w:val="decimal"/>
      <w:lvlText w:val="%1"/>
      <w:lvlJc w:val="left"/>
      <w:pPr>
        <w:ind w:left="1017" w:hanging="480"/>
        <w:jc w:val="left"/>
      </w:pPr>
      <w:rPr>
        <w:rFonts w:hint="default"/>
        <w:lang w:val="zh-CN" w:eastAsia="zh-CN" w:bidi="zh-CN"/>
      </w:rPr>
    </w:lvl>
    <w:lvl w:ilvl="1" w:tentative="0">
      <w:start w:val="1"/>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9">
    <w:nsid w:val="2470EC97"/>
    <w:multiLevelType w:val="multilevel"/>
    <w:tmpl w:val="2470EC97"/>
    <w:lvl w:ilvl="0" w:tentative="0">
      <w:start w:val="6"/>
      <w:numFmt w:val="decimal"/>
      <w:lvlText w:val="%1"/>
      <w:lvlJc w:val="left"/>
      <w:pPr>
        <w:ind w:left="1017" w:hanging="480"/>
        <w:jc w:val="left"/>
      </w:pPr>
      <w:rPr>
        <w:rFonts w:hint="default"/>
        <w:lang w:val="zh-CN" w:eastAsia="zh-CN" w:bidi="zh-CN"/>
      </w:rPr>
    </w:lvl>
    <w:lvl w:ilvl="1" w:tentative="0">
      <w:start w:val="1"/>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10">
    <w:nsid w:val="25B654F3"/>
    <w:multiLevelType w:val="multilevel"/>
    <w:tmpl w:val="25B654F3"/>
    <w:lvl w:ilvl="0" w:tentative="0">
      <w:start w:val="4"/>
      <w:numFmt w:val="decimal"/>
      <w:lvlText w:val="%1"/>
      <w:lvlJc w:val="left"/>
      <w:pPr>
        <w:ind w:left="1017" w:hanging="480"/>
        <w:jc w:val="left"/>
      </w:pPr>
      <w:rPr>
        <w:rFonts w:hint="default"/>
        <w:lang w:val="zh-CN" w:eastAsia="zh-CN" w:bidi="zh-CN"/>
      </w:rPr>
    </w:lvl>
    <w:lvl w:ilvl="1" w:tentative="0">
      <w:start w:val="2"/>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1"/>
      <w:numFmt w:val="decimal"/>
      <w:lvlText w:val="%1.%2.%3.%4"/>
      <w:lvlJc w:val="left"/>
      <w:pPr>
        <w:ind w:left="1257" w:hanging="720"/>
        <w:jc w:val="left"/>
      </w:pPr>
      <w:rPr>
        <w:rFonts w:hint="default" w:ascii="Times New Roman" w:hAnsi="Times New Roman" w:eastAsia="Times New Roman" w:cs="Times New Roman"/>
        <w:b/>
        <w:bCs/>
        <w:w w:val="99"/>
        <w:sz w:val="24"/>
        <w:szCs w:val="24"/>
        <w:lang w:val="zh-CN" w:eastAsia="zh-CN" w:bidi="zh-CN"/>
      </w:rPr>
    </w:lvl>
    <w:lvl w:ilvl="4" w:tentative="0">
      <w:start w:val="0"/>
      <w:numFmt w:val="bullet"/>
      <w:lvlText w:val="•"/>
      <w:lvlJc w:val="left"/>
      <w:pPr>
        <w:ind w:left="3216" w:hanging="720"/>
      </w:pPr>
      <w:rPr>
        <w:rFonts w:hint="default"/>
        <w:lang w:val="zh-CN" w:eastAsia="zh-CN" w:bidi="zh-CN"/>
      </w:rPr>
    </w:lvl>
    <w:lvl w:ilvl="5" w:tentative="0">
      <w:start w:val="0"/>
      <w:numFmt w:val="bullet"/>
      <w:lvlText w:val="•"/>
      <w:lvlJc w:val="left"/>
      <w:pPr>
        <w:ind w:left="4195" w:hanging="720"/>
      </w:pPr>
      <w:rPr>
        <w:rFonts w:hint="default"/>
        <w:lang w:val="zh-CN" w:eastAsia="zh-CN" w:bidi="zh-CN"/>
      </w:rPr>
    </w:lvl>
    <w:lvl w:ilvl="6" w:tentative="0">
      <w:start w:val="0"/>
      <w:numFmt w:val="bullet"/>
      <w:lvlText w:val="•"/>
      <w:lvlJc w:val="left"/>
      <w:pPr>
        <w:ind w:left="5173" w:hanging="720"/>
      </w:pPr>
      <w:rPr>
        <w:rFonts w:hint="default"/>
        <w:lang w:val="zh-CN" w:eastAsia="zh-CN" w:bidi="zh-CN"/>
      </w:rPr>
    </w:lvl>
    <w:lvl w:ilvl="7" w:tentative="0">
      <w:start w:val="0"/>
      <w:numFmt w:val="bullet"/>
      <w:lvlText w:val="•"/>
      <w:lvlJc w:val="left"/>
      <w:pPr>
        <w:ind w:left="6151" w:hanging="720"/>
      </w:pPr>
      <w:rPr>
        <w:rFonts w:hint="default"/>
        <w:lang w:val="zh-CN" w:eastAsia="zh-CN" w:bidi="zh-CN"/>
      </w:rPr>
    </w:lvl>
    <w:lvl w:ilvl="8" w:tentative="0">
      <w:start w:val="0"/>
      <w:numFmt w:val="bullet"/>
      <w:lvlText w:val="•"/>
      <w:lvlJc w:val="left"/>
      <w:pPr>
        <w:ind w:left="7130" w:hanging="720"/>
      </w:pPr>
      <w:rPr>
        <w:rFonts w:hint="default"/>
        <w:lang w:val="zh-CN" w:eastAsia="zh-CN" w:bidi="zh-CN"/>
      </w:rPr>
    </w:lvl>
  </w:abstractNum>
  <w:abstractNum w:abstractNumId="11">
    <w:nsid w:val="2A8F537B"/>
    <w:multiLevelType w:val="multilevel"/>
    <w:tmpl w:val="2A8F537B"/>
    <w:lvl w:ilvl="0" w:tentative="0">
      <w:start w:val="5"/>
      <w:numFmt w:val="decimal"/>
      <w:lvlText w:val="%1"/>
      <w:lvlJc w:val="left"/>
      <w:pPr>
        <w:ind w:left="1017" w:hanging="480"/>
        <w:jc w:val="left"/>
      </w:pPr>
      <w:rPr>
        <w:rFonts w:hint="default"/>
        <w:lang w:val="zh-CN" w:eastAsia="zh-CN" w:bidi="zh-CN"/>
      </w:rPr>
    </w:lvl>
    <w:lvl w:ilvl="1" w:tentative="0">
      <w:start w:val="3"/>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12">
    <w:nsid w:val="4D4DC07F"/>
    <w:multiLevelType w:val="multilevel"/>
    <w:tmpl w:val="4D4DC07F"/>
    <w:lvl w:ilvl="0" w:tentative="0">
      <w:start w:val="5"/>
      <w:numFmt w:val="decimal"/>
      <w:lvlText w:val="%1"/>
      <w:lvlJc w:val="left"/>
      <w:pPr>
        <w:ind w:left="1017" w:hanging="480"/>
        <w:jc w:val="left"/>
      </w:pPr>
      <w:rPr>
        <w:rFonts w:hint="default"/>
        <w:lang w:val="zh-CN" w:eastAsia="zh-CN" w:bidi="zh-CN"/>
      </w:rPr>
    </w:lvl>
    <w:lvl w:ilvl="1" w:tentative="0">
      <w:start w:val="7"/>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13">
    <w:nsid w:val="59ADCABA"/>
    <w:multiLevelType w:val="multilevel"/>
    <w:tmpl w:val="59ADCABA"/>
    <w:lvl w:ilvl="0" w:tentative="0">
      <w:start w:val="3"/>
      <w:numFmt w:val="decimal"/>
      <w:lvlText w:val="%1"/>
      <w:lvlJc w:val="left"/>
      <w:pPr>
        <w:ind w:left="1017" w:hanging="480"/>
        <w:jc w:val="left"/>
      </w:pPr>
      <w:rPr>
        <w:rFonts w:hint="default"/>
        <w:lang w:val="zh-CN" w:eastAsia="zh-CN" w:bidi="zh-CN"/>
      </w:rPr>
    </w:lvl>
    <w:lvl w:ilvl="1" w:tentative="0">
      <w:start w:val="1"/>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2"/>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14">
    <w:nsid w:val="5A241D34"/>
    <w:multiLevelType w:val="multilevel"/>
    <w:tmpl w:val="5A241D34"/>
    <w:lvl w:ilvl="0" w:tentative="0">
      <w:start w:val="5"/>
      <w:numFmt w:val="decimal"/>
      <w:lvlText w:val="%1"/>
      <w:lvlJc w:val="left"/>
      <w:pPr>
        <w:ind w:left="1017" w:hanging="480"/>
        <w:jc w:val="left"/>
      </w:pPr>
      <w:rPr>
        <w:rFonts w:hint="default"/>
        <w:lang w:val="zh-CN" w:eastAsia="zh-CN" w:bidi="zh-CN"/>
      </w:rPr>
    </w:lvl>
    <w:lvl w:ilvl="1" w:tentative="0">
      <w:start w:val="5"/>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abstractNum w:abstractNumId="15">
    <w:nsid w:val="72183CF9"/>
    <w:multiLevelType w:val="multilevel"/>
    <w:tmpl w:val="72183CF9"/>
    <w:lvl w:ilvl="0" w:tentative="0">
      <w:start w:val="5"/>
      <w:numFmt w:val="decimal"/>
      <w:lvlText w:val="%1"/>
      <w:lvlJc w:val="left"/>
      <w:pPr>
        <w:ind w:left="1017" w:hanging="480"/>
        <w:jc w:val="left"/>
      </w:pPr>
      <w:rPr>
        <w:rFonts w:hint="default"/>
        <w:lang w:val="zh-CN" w:eastAsia="zh-CN" w:bidi="zh-CN"/>
      </w:rPr>
    </w:lvl>
    <w:lvl w:ilvl="1" w:tentative="0">
      <w:start w:val="1"/>
      <w:numFmt w:val="decimal"/>
      <w:lvlText w:val="%1.%2"/>
      <w:lvlJc w:val="left"/>
      <w:pPr>
        <w:ind w:left="1017" w:hanging="480"/>
        <w:jc w:val="left"/>
      </w:pPr>
      <w:rPr>
        <w:rFonts w:hint="default" w:ascii="Times New Roman" w:hAnsi="Times New Roman" w:eastAsia="Times New Roman" w:cs="Times New Roman"/>
        <w:b/>
        <w:bCs/>
        <w:spacing w:val="-1"/>
        <w:w w:val="99"/>
        <w:sz w:val="32"/>
        <w:szCs w:val="32"/>
        <w:lang w:val="zh-CN" w:eastAsia="zh-CN" w:bidi="zh-CN"/>
      </w:rPr>
    </w:lvl>
    <w:lvl w:ilvl="2" w:tentative="0">
      <w:start w:val="1"/>
      <w:numFmt w:val="decimal"/>
      <w:lvlText w:val="%1.%2.%3"/>
      <w:lvlJc w:val="left"/>
      <w:pPr>
        <w:ind w:left="1166" w:hanging="629"/>
        <w:jc w:val="left"/>
      </w:pPr>
      <w:rPr>
        <w:rFonts w:hint="default" w:ascii="Times New Roman" w:hAnsi="Times New Roman" w:eastAsia="Times New Roman" w:cs="Times New Roman"/>
        <w:b/>
        <w:bCs/>
        <w:spacing w:val="-4"/>
        <w:w w:val="100"/>
        <w:sz w:val="28"/>
        <w:szCs w:val="28"/>
        <w:lang w:val="zh-CN" w:eastAsia="zh-CN" w:bidi="zh-CN"/>
      </w:rPr>
    </w:lvl>
    <w:lvl w:ilvl="3" w:tentative="0">
      <w:start w:val="0"/>
      <w:numFmt w:val="bullet"/>
      <w:lvlText w:val="•"/>
      <w:lvlJc w:val="left"/>
      <w:pPr>
        <w:ind w:left="2921" w:hanging="629"/>
      </w:pPr>
      <w:rPr>
        <w:rFonts w:hint="default"/>
        <w:lang w:val="zh-CN" w:eastAsia="zh-CN" w:bidi="zh-CN"/>
      </w:rPr>
    </w:lvl>
    <w:lvl w:ilvl="4" w:tentative="0">
      <w:start w:val="0"/>
      <w:numFmt w:val="bullet"/>
      <w:lvlText w:val="•"/>
      <w:lvlJc w:val="left"/>
      <w:pPr>
        <w:ind w:left="3802" w:hanging="629"/>
      </w:pPr>
      <w:rPr>
        <w:rFonts w:hint="default"/>
        <w:lang w:val="zh-CN" w:eastAsia="zh-CN" w:bidi="zh-CN"/>
      </w:rPr>
    </w:lvl>
    <w:lvl w:ilvl="5" w:tentative="0">
      <w:start w:val="0"/>
      <w:numFmt w:val="bullet"/>
      <w:lvlText w:val="•"/>
      <w:lvlJc w:val="left"/>
      <w:pPr>
        <w:ind w:left="4683" w:hanging="629"/>
      </w:pPr>
      <w:rPr>
        <w:rFonts w:hint="default"/>
        <w:lang w:val="zh-CN" w:eastAsia="zh-CN" w:bidi="zh-CN"/>
      </w:rPr>
    </w:lvl>
    <w:lvl w:ilvl="6" w:tentative="0">
      <w:start w:val="0"/>
      <w:numFmt w:val="bullet"/>
      <w:lvlText w:val="•"/>
      <w:lvlJc w:val="left"/>
      <w:pPr>
        <w:ind w:left="5563" w:hanging="629"/>
      </w:pPr>
      <w:rPr>
        <w:rFonts w:hint="default"/>
        <w:lang w:val="zh-CN" w:eastAsia="zh-CN" w:bidi="zh-CN"/>
      </w:rPr>
    </w:lvl>
    <w:lvl w:ilvl="7" w:tentative="0">
      <w:start w:val="0"/>
      <w:numFmt w:val="bullet"/>
      <w:lvlText w:val="•"/>
      <w:lvlJc w:val="left"/>
      <w:pPr>
        <w:ind w:left="6444" w:hanging="629"/>
      </w:pPr>
      <w:rPr>
        <w:rFonts w:hint="default"/>
        <w:lang w:val="zh-CN" w:eastAsia="zh-CN" w:bidi="zh-CN"/>
      </w:rPr>
    </w:lvl>
    <w:lvl w:ilvl="8" w:tentative="0">
      <w:start w:val="0"/>
      <w:numFmt w:val="bullet"/>
      <w:lvlText w:val="•"/>
      <w:lvlJc w:val="left"/>
      <w:pPr>
        <w:ind w:left="7325" w:hanging="629"/>
      </w:pPr>
      <w:rPr>
        <w:rFonts w:hint="default"/>
        <w:lang w:val="zh-CN" w:eastAsia="zh-CN" w:bidi="zh-CN"/>
      </w:r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hdrShapeDefaults>
    <o:shapelayout v:ext="edit">
      <o:idmap v:ext="edit" data="3,4"/>
    </o:shapelayout>
  </w:hdrShapeDefaults>
  <w:compat>
    <w:ulTrailSpace/>
    <w:useFELayout/>
    <w:compatSetting w:name="compatibilityMode" w:uri="http://schemas.microsoft.com/office/word" w:val="12"/>
  </w:compat>
  <w:rsids>
    <w:rsidRoot w:val="00000000"/>
    <w:rsid w:val="020C39DE"/>
    <w:rsid w:val="030F25ED"/>
    <w:rsid w:val="0A3B15B5"/>
    <w:rsid w:val="0BA30307"/>
    <w:rsid w:val="11257A8A"/>
    <w:rsid w:val="38036FC1"/>
    <w:rsid w:val="406E7DB5"/>
    <w:rsid w:val="4F0B7BB7"/>
    <w:rsid w:val="551748D4"/>
    <w:rsid w:val="67D131A8"/>
    <w:rsid w:val="717306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38"/>
      <w:ind w:left="306"/>
      <w:outlineLvl w:val="1"/>
    </w:pPr>
    <w:rPr>
      <w:rFonts w:ascii="宋体" w:hAnsi="宋体" w:eastAsia="宋体" w:cs="宋体"/>
      <w:b/>
      <w:bCs/>
      <w:sz w:val="44"/>
      <w:szCs w:val="44"/>
      <w:lang w:val="zh-CN" w:eastAsia="zh-CN" w:bidi="zh-CN"/>
    </w:rPr>
  </w:style>
  <w:style w:type="paragraph" w:styleId="3">
    <w:name w:val="heading 2"/>
    <w:basedOn w:val="1"/>
    <w:next w:val="1"/>
    <w:qFormat/>
    <w:uiPriority w:val="1"/>
    <w:pPr>
      <w:ind w:left="1017" w:hanging="480"/>
      <w:outlineLvl w:val="2"/>
    </w:pPr>
    <w:rPr>
      <w:rFonts w:ascii="黑体" w:hAnsi="黑体" w:eastAsia="黑体" w:cs="黑体"/>
      <w:b/>
      <w:bCs/>
      <w:sz w:val="32"/>
      <w:szCs w:val="32"/>
      <w:lang w:val="zh-CN" w:eastAsia="zh-CN" w:bidi="zh-CN"/>
    </w:rPr>
  </w:style>
  <w:style w:type="paragraph" w:styleId="4">
    <w:name w:val="heading 3"/>
    <w:basedOn w:val="1"/>
    <w:next w:val="1"/>
    <w:qFormat/>
    <w:uiPriority w:val="1"/>
    <w:pPr>
      <w:ind w:left="1166" w:hanging="629"/>
      <w:outlineLvl w:val="3"/>
    </w:pPr>
    <w:rPr>
      <w:rFonts w:ascii="仿宋" w:hAnsi="仿宋" w:eastAsia="仿宋" w:cs="仿宋"/>
      <w:b/>
      <w:bCs/>
      <w:sz w:val="28"/>
      <w:szCs w:val="28"/>
      <w:lang w:val="zh-CN" w:eastAsia="zh-CN" w:bidi="zh-CN"/>
    </w:rPr>
  </w:style>
  <w:style w:type="paragraph" w:styleId="5">
    <w:name w:val="heading 4"/>
    <w:basedOn w:val="1"/>
    <w:next w:val="1"/>
    <w:qFormat/>
    <w:uiPriority w:val="1"/>
    <w:pPr>
      <w:ind w:left="1017"/>
      <w:outlineLvl w:val="4"/>
    </w:pPr>
    <w:rPr>
      <w:rFonts w:ascii="仿宋" w:hAnsi="仿宋" w:eastAsia="仿宋" w:cs="仿宋"/>
      <w:b/>
      <w:bCs/>
      <w:sz w:val="24"/>
      <w:szCs w:val="24"/>
      <w:lang w:val="zh-CN" w:eastAsia="zh-CN" w:bidi="zh-CN"/>
    </w:rPr>
  </w:style>
  <w:style w:type="character" w:default="1" w:styleId="8">
    <w:name w:val="Default Paragraph Font"/>
    <w:semiHidden/>
    <w:unhideWhenUsed/>
    <w:qFormat/>
    <w:uiPriority w:val="1"/>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6">
    <w:name w:val="Body Text"/>
    <w:basedOn w:val="1"/>
    <w:qFormat/>
    <w:uiPriority w:val="1"/>
    <w:rPr>
      <w:rFonts w:ascii="宋体" w:hAnsi="宋体" w:eastAsia="宋体" w:cs="宋体"/>
      <w:sz w:val="24"/>
      <w:szCs w:val="24"/>
      <w:lang w:val="zh-CN" w:eastAsia="zh-CN" w:bidi="zh-CN"/>
    </w:rPr>
  </w:style>
  <w:style w:type="table" w:customStyle="1" w:styleId="9">
    <w:name w:val="Table Normal"/>
    <w:semiHidden/>
    <w:unhideWhenUsed/>
    <w:qFormat/>
    <w:uiPriority w:val="2"/>
    <w:tblPr>
      <w:tblLayout w:type="fixed"/>
      <w:tblCellMar>
        <w:top w:w="0" w:type="dxa"/>
        <w:left w:w="0" w:type="dxa"/>
        <w:bottom w:w="0" w:type="dxa"/>
        <w:right w:w="0" w:type="dxa"/>
      </w:tblCellMar>
    </w:tblPr>
  </w:style>
  <w:style w:type="paragraph" w:styleId="10">
    <w:name w:val="List Paragraph"/>
    <w:basedOn w:val="1"/>
    <w:qFormat/>
    <w:uiPriority w:val="1"/>
    <w:pPr>
      <w:ind w:left="1166" w:hanging="629"/>
    </w:pPr>
    <w:rPr>
      <w:rFonts w:ascii="仿宋" w:hAnsi="仿宋" w:eastAsia="仿宋" w:cs="仿宋"/>
      <w:lang w:val="zh-CN" w:eastAsia="zh-CN" w:bidi="zh-CN"/>
    </w:rPr>
  </w:style>
  <w:style w:type="paragraph" w:customStyle="1" w:styleId="11">
    <w:name w:val="Table Paragraph"/>
    <w:basedOn w:val="1"/>
    <w:qFormat/>
    <w:uiPriority w:val="1"/>
    <w:pPr>
      <w:jc w:val="center"/>
    </w:pPr>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102"/>
    <customShpInfo spid="_x0000_s4098"/>
    <customShpInfo spid="_x0000_s4099"/>
    <customShpInfo spid="_x0000_s4097"/>
    <customShpInfo spid="_x0000_s4100"/>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ScaleCrop>false</ScaleCrop>
  <LinksUpToDate>false</LinksUpToDate>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2019-07-30T02:52:00Z</dcterms:created>
  <dc:creator>Administrator</dc:creator>
  <cp:lastModifiedBy>蓝黑</cp:lastModifiedBy>
  <dcterms:modified xsi:type="dcterms:W3CDTF">2019-07-30T09:44:22Z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2018-02-24T00:00:00Z</vt:filetime>
  </property>
  <property fmtid="{D5CDD505-2E9C-101B-9397-08002B2CF9AE}" pid="3" name="Creator">
    <vt:lpwstr>WPS Office</vt:lpwstr>
  </property>
  <property fmtid="{D5CDD505-2E9C-101B-9397-08002B2CF9AE}" pid="4" name="LastSaved">
    <vt:filetime>2019-07-30T00:00:00Z</vt:filetime>
  </property>
  <property fmtid="{D5CDD505-2E9C-101B-9397-08002B2CF9AE}" pid="5" name="KSOProductBuildVer">
    <vt:lpwstr>2052-11.1.0.8894</vt:lpwstr>
  </property>
</Properties>
</file>